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A" w:rsidRPr="002C0C57" w:rsidRDefault="006D471A" w:rsidP="006D471A">
      <w:pPr>
        <w:rPr>
          <w:rFonts w:cs="Times New Roman"/>
          <w:sz w:val="18"/>
          <w:rtl/>
          <w:lang w:eastAsia="en-US"/>
        </w:rPr>
      </w:pPr>
      <w:r w:rsidRPr="002C0C57">
        <w:rPr>
          <w:rFonts w:cs="Times New Roman"/>
          <w:noProof/>
          <w:rtl/>
          <w:lang w:eastAsia="en-US"/>
        </w:rPr>
        <w:drawing>
          <wp:inline distT="0" distB="0" distL="0" distR="0">
            <wp:extent cx="876300" cy="1371600"/>
            <wp:effectExtent l="1905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6D471A" w:rsidRPr="002C0C57" w:rsidRDefault="006D471A" w:rsidP="006D471A">
      <w:pPr>
        <w:bidi w:val="0"/>
        <w:rPr>
          <w:rFonts w:cs="Times New Roman"/>
          <w:sz w:val="48"/>
          <w:szCs w:val="48"/>
        </w:rPr>
      </w:pPr>
      <w:r w:rsidRPr="002C0C57">
        <w:rPr>
          <w:rFonts w:cs="Times New Roman"/>
          <w:b/>
          <w:bCs/>
          <w:sz w:val="48"/>
          <w:szCs w:val="48"/>
          <w:lang w:eastAsia="en-US"/>
        </w:rPr>
        <w:t>Palestinian National Authority</w:t>
      </w:r>
    </w:p>
    <w:p w:rsidR="00F46F9D" w:rsidRPr="002C0C57" w:rsidRDefault="00F46F9D" w:rsidP="00F46F9D">
      <w:pPr>
        <w:bidi w:val="0"/>
        <w:rPr>
          <w:rFonts w:cs="Times New Roman"/>
          <w:sz w:val="52"/>
          <w:szCs w:val="52"/>
        </w:rPr>
      </w:pPr>
      <w:r w:rsidRPr="002C0C57">
        <w:rPr>
          <w:rFonts w:cs="Times New Roman"/>
          <w:b/>
          <w:bCs/>
          <w:sz w:val="52"/>
          <w:szCs w:val="52"/>
          <w:lang w:eastAsia="en-US"/>
        </w:rPr>
        <w:t xml:space="preserve">Palestinian Central Bureau of Statistics </w:t>
      </w:r>
    </w:p>
    <w:p w:rsidR="006D471A" w:rsidRPr="002C0C57" w:rsidRDefault="006D471A" w:rsidP="006D471A">
      <w:pPr>
        <w:rPr>
          <w:rFonts w:cs="Times New Roman"/>
        </w:rPr>
      </w:pPr>
    </w:p>
    <w:p w:rsidR="006D471A" w:rsidRPr="002C0C57" w:rsidRDefault="006D471A" w:rsidP="00DF3396">
      <w:pPr>
        <w:pStyle w:val="Heading9"/>
        <w:bidi w:val="0"/>
        <w:rPr>
          <w:rFonts w:cs="Times New Roman"/>
          <w:sz w:val="36"/>
          <w:szCs w:val="36"/>
        </w:rPr>
      </w:pPr>
      <w:r w:rsidRPr="002C0C57">
        <w:rPr>
          <w:rFonts w:cs="Times New Roman"/>
          <w:sz w:val="36"/>
          <w:szCs w:val="36"/>
          <w:lang w:eastAsia="en-US"/>
        </w:rPr>
        <w:t xml:space="preserve">Dissemination and </w:t>
      </w:r>
      <w:r w:rsidR="00DF3396" w:rsidRPr="002C0C57">
        <w:rPr>
          <w:rFonts w:cs="Times New Roman"/>
          <w:sz w:val="36"/>
          <w:szCs w:val="36"/>
          <w:lang w:eastAsia="en-US"/>
        </w:rPr>
        <w:t>A</w:t>
      </w:r>
      <w:r w:rsidRPr="002C0C57">
        <w:rPr>
          <w:rFonts w:cs="Times New Roman"/>
          <w:sz w:val="36"/>
          <w:szCs w:val="36"/>
          <w:lang w:eastAsia="en-US"/>
        </w:rPr>
        <w:t xml:space="preserve">nalysis of </w:t>
      </w:r>
      <w:r w:rsidRPr="002C0C57">
        <w:rPr>
          <w:rFonts w:cs="Times New Roman"/>
          <w:sz w:val="36"/>
          <w:szCs w:val="36"/>
        </w:rPr>
        <w:t>Agricultural Census – 2010</w:t>
      </w:r>
    </w:p>
    <w:p w:rsidR="006D471A" w:rsidRPr="002C0C57" w:rsidRDefault="006D471A" w:rsidP="006D471A">
      <w:pPr>
        <w:rPr>
          <w:rFonts w:cs="Times New Roman"/>
        </w:rPr>
      </w:pPr>
    </w:p>
    <w:p w:rsidR="006D471A" w:rsidRPr="002C0C57" w:rsidRDefault="006D471A" w:rsidP="006D471A">
      <w:pPr>
        <w:rPr>
          <w:rFonts w:cs="Times New Roman"/>
          <w:rtl/>
        </w:rPr>
      </w:pPr>
    </w:p>
    <w:p w:rsidR="00F46F9D" w:rsidRPr="002C0C57" w:rsidRDefault="00F46F9D" w:rsidP="006D471A">
      <w:pPr>
        <w:rPr>
          <w:rFonts w:cs="Times New Roman"/>
          <w:rtl/>
        </w:rPr>
      </w:pPr>
    </w:p>
    <w:p w:rsidR="00F46F9D" w:rsidRPr="002C0C57" w:rsidRDefault="00F46F9D" w:rsidP="006D471A">
      <w:pPr>
        <w:rPr>
          <w:rFonts w:cs="Times New Roman"/>
          <w:rtl/>
        </w:rPr>
      </w:pPr>
    </w:p>
    <w:p w:rsidR="00F46F9D" w:rsidRPr="002C0C57" w:rsidRDefault="00F46F9D" w:rsidP="006D471A">
      <w:pPr>
        <w:rPr>
          <w:rFonts w:cs="Times New Roman"/>
          <w:sz w:val="8"/>
          <w:szCs w:val="4"/>
          <w:rtl/>
        </w:rPr>
      </w:pPr>
    </w:p>
    <w:p w:rsidR="00F46F9D" w:rsidRPr="002C0C57" w:rsidRDefault="00F46F9D" w:rsidP="006D471A">
      <w:pPr>
        <w:rPr>
          <w:rFonts w:cs="Times New Roman"/>
          <w:rtl/>
        </w:rPr>
      </w:pPr>
    </w:p>
    <w:p w:rsidR="00F46F9D" w:rsidRPr="002C0C57" w:rsidRDefault="00F46F9D" w:rsidP="006D471A">
      <w:pPr>
        <w:rPr>
          <w:rFonts w:cs="Times New Roman"/>
          <w:rtl/>
        </w:rPr>
      </w:pPr>
    </w:p>
    <w:p w:rsidR="00F46F9D" w:rsidRPr="002C0C57" w:rsidRDefault="00F46F9D" w:rsidP="006D471A">
      <w:pPr>
        <w:rPr>
          <w:rFonts w:cs="Times New Roman"/>
          <w:rtl/>
        </w:rPr>
      </w:pPr>
    </w:p>
    <w:p w:rsidR="00F46F9D" w:rsidRPr="002C0C57" w:rsidRDefault="00F46F9D" w:rsidP="006D471A">
      <w:pPr>
        <w:rPr>
          <w:rFonts w:cs="Times New Roman"/>
          <w:rtl/>
        </w:rPr>
      </w:pPr>
    </w:p>
    <w:p w:rsidR="007D1B3A" w:rsidRPr="002C0C57" w:rsidRDefault="00DF3396" w:rsidP="00DF3396">
      <w:pPr>
        <w:shd w:val="clear" w:color="auto" w:fill="F5F5F5"/>
        <w:bidi w:val="0"/>
        <w:textAlignment w:val="top"/>
        <w:rPr>
          <w:rFonts w:cs="Times New Roman"/>
          <w:b/>
          <w:bCs/>
          <w:color w:val="888888"/>
          <w:sz w:val="40"/>
          <w:szCs w:val="40"/>
          <w:lang w:eastAsia="en-US"/>
        </w:rPr>
      </w:pPr>
      <w:r w:rsidRPr="002C0C57">
        <w:rPr>
          <w:rFonts w:cs="Times New Roman"/>
          <w:b/>
          <w:bCs/>
          <w:color w:val="333333"/>
          <w:sz w:val="40"/>
          <w:szCs w:val="40"/>
          <w:lang w:eastAsia="en-US"/>
        </w:rPr>
        <w:t>F</w:t>
      </w:r>
      <w:r w:rsidR="007D1B3A" w:rsidRPr="002C0C57">
        <w:rPr>
          <w:rFonts w:cs="Times New Roman"/>
          <w:b/>
          <w:bCs/>
          <w:color w:val="333333"/>
          <w:sz w:val="40"/>
          <w:szCs w:val="40"/>
          <w:lang w:eastAsia="en-US"/>
        </w:rPr>
        <w:t xml:space="preserve">ragmentation of </w:t>
      </w:r>
      <w:r w:rsidRPr="002C0C57">
        <w:rPr>
          <w:rFonts w:cs="Times New Roman"/>
          <w:b/>
          <w:bCs/>
          <w:color w:val="333333"/>
          <w:sz w:val="40"/>
          <w:szCs w:val="40"/>
          <w:lang w:eastAsia="en-US"/>
        </w:rPr>
        <w:t>A</w:t>
      </w:r>
      <w:r w:rsidR="007D1B3A" w:rsidRPr="002C0C57">
        <w:rPr>
          <w:rFonts w:cs="Times New Roman"/>
          <w:b/>
          <w:bCs/>
          <w:color w:val="333333"/>
          <w:sz w:val="40"/>
          <w:szCs w:val="40"/>
          <w:lang w:eastAsia="en-US"/>
        </w:rPr>
        <w:t xml:space="preserve">gricultural </w:t>
      </w:r>
      <w:r w:rsidRPr="002C0C57">
        <w:rPr>
          <w:rFonts w:cs="Times New Roman"/>
          <w:b/>
          <w:bCs/>
          <w:color w:val="333333"/>
          <w:sz w:val="40"/>
          <w:szCs w:val="40"/>
          <w:lang w:eastAsia="en-US"/>
        </w:rPr>
        <w:t>H</w:t>
      </w:r>
      <w:r w:rsidR="007D1B3A" w:rsidRPr="002C0C57">
        <w:rPr>
          <w:rFonts w:cs="Times New Roman"/>
          <w:b/>
          <w:bCs/>
          <w:color w:val="333333"/>
          <w:sz w:val="40"/>
          <w:szCs w:val="40"/>
          <w:lang w:eastAsia="en-US"/>
        </w:rPr>
        <w:t xml:space="preserve">oldings and its </w:t>
      </w:r>
      <w:r w:rsidRPr="002C0C57">
        <w:rPr>
          <w:rFonts w:cs="Times New Roman"/>
          <w:b/>
          <w:bCs/>
          <w:color w:val="333333"/>
          <w:sz w:val="40"/>
          <w:szCs w:val="40"/>
          <w:lang w:eastAsia="en-US"/>
        </w:rPr>
        <w:t>I</w:t>
      </w:r>
      <w:r w:rsidR="007D1B3A" w:rsidRPr="002C0C57">
        <w:rPr>
          <w:rFonts w:cs="Times New Roman"/>
          <w:b/>
          <w:bCs/>
          <w:color w:val="333333"/>
          <w:sz w:val="40"/>
          <w:szCs w:val="40"/>
          <w:lang w:eastAsia="en-US"/>
        </w:rPr>
        <w:t xml:space="preserve">mpact on </w:t>
      </w:r>
      <w:r w:rsidRPr="002C0C57">
        <w:rPr>
          <w:rFonts w:cs="Times New Roman"/>
          <w:b/>
          <w:bCs/>
          <w:color w:val="333333"/>
          <w:sz w:val="40"/>
          <w:szCs w:val="40"/>
          <w:lang w:eastAsia="en-US"/>
        </w:rPr>
        <w:t>P</w:t>
      </w:r>
      <w:r w:rsidR="007D1B3A" w:rsidRPr="002C0C57">
        <w:rPr>
          <w:rFonts w:cs="Times New Roman"/>
          <w:b/>
          <w:bCs/>
          <w:color w:val="333333"/>
          <w:sz w:val="40"/>
          <w:szCs w:val="40"/>
          <w:lang w:eastAsia="en-US"/>
        </w:rPr>
        <w:t xml:space="preserve">roduction and </w:t>
      </w:r>
      <w:r w:rsidRPr="002C0C57">
        <w:rPr>
          <w:rFonts w:cs="Times New Roman"/>
          <w:b/>
          <w:bCs/>
          <w:color w:val="333333"/>
          <w:sz w:val="40"/>
          <w:szCs w:val="40"/>
          <w:lang w:eastAsia="en-US"/>
        </w:rPr>
        <w:t>P</w:t>
      </w:r>
      <w:r w:rsidR="007D1B3A" w:rsidRPr="002C0C57">
        <w:rPr>
          <w:rFonts w:cs="Times New Roman"/>
          <w:b/>
          <w:bCs/>
          <w:color w:val="333333"/>
          <w:sz w:val="40"/>
          <w:szCs w:val="40"/>
          <w:lang w:eastAsia="en-US"/>
        </w:rPr>
        <w:t>roductivity</w:t>
      </w:r>
    </w:p>
    <w:p w:rsidR="006D471A" w:rsidRPr="002C0C57" w:rsidRDefault="006D471A" w:rsidP="00FB0A5A">
      <w:pPr>
        <w:bidi w:val="0"/>
        <w:rPr>
          <w:rFonts w:cs="Times New Roman"/>
          <w:b/>
          <w:bCs/>
          <w:sz w:val="40"/>
          <w:szCs w:val="40"/>
        </w:rPr>
      </w:pPr>
      <w:r w:rsidRPr="002C0C57">
        <w:rPr>
          <w:rFonts w:cs="Times New Roman"/>
          <w:b/>
          <w:bCs/>
          <w:sz w:val="40"/>
          <w:szCs w:val="40"/>
        </w:rPr>
        <w:br/>
      </w:r>
    </w:p>
    <w:p w:rsidR="006D471A" w:rsidRPr="002C0C57" w:rsidRDefault="006D471A" w:rsidP="00F46F9D">
      <w:pPr>
        <w:bidi w:val="0"/>
        <w:rPr>
          <w:rFonts w:cs="Times New Roman"/>
          <w:b/>
          <w:bCs/>
          <w:sz w:val="40"/>
          <w:szCs w:val="40"/>
          <w:lang w:eastAsia="en-US"/>
        </w:rPr>
      </w:pPr>
      <w:r w:rsidRPr="002C0C57">
        <w:rPr>
          <w:rFonts w:cs="Times New Roman"/>
          <w:b/>
          <w:bCs/>
          <w:sz w:val="40"/>
          <w:szCs w:val="40"/>
        </w:rPr>
        <w:br/>
      </w:r>
    </w:p>
    <w:p w:rsidR="006D471A" w:rsidRPr="002C0C57" w:rsidRDefault="006D471A" w:rsidP="006D471A">
      <w:pPr>
        <w:bidi w:val="0"/>
        <w:rPr>
          <w:rFonts w:cs="Times New Roman"/>
          <w:b/>
          <w:bCs/>
          <w:sz w:val="40"/>
          <w:szCs w:val="40"/>
          <w:lang w:eastAsia="en-US"/>
        </w:rPr>
      </w:pPr>
    </w:p>
    <w:p w:rsidR="006D471A" w:rsidRPr="002C0C57" w:rsidRDefault="006D471A" w:rsidP="006D471A">
      <w:pPr>
        <w:bidi w:val="0"/>
        <w:rPr>
          <w:rFonts w:cs="Times New Roman"/>
          <w:b/>
          <w:bCs/>
          <w:sz w:val="32"/>
          <w:szCs w:val="32"/>
          <w:lang w:eastAsia="en-US"/>
        </w:rPr>
      </w:pPr>
      <w:r w:rsidRPr="002C0C57">
        <w:rPr>
          <w:rFonts w:cs="Times New Roman"/>
          <w:b/>
          <w:bCs/>
          <w:sz w:val="32"/>
          <w:szCs w:val="32"/>
          <w:lang w:eastAsia="en-US"/>
        </w:rPr>
        <w:t>Prepared by</w:t>
      </w:r>
    </w:p>
    <w:p w:rsidR="00955D9F" w:rsidRPr="002C0C57" w:rsidRDefault="00955D9F" w:rsidP="00955D9F">
      <w:pPr>
        <w:pStyle w:val="Heading2"/>
        <w:bidi w:val="0"/>
        <w:rPr>
          <w:rFonts w:ascii="Times New Roman" w:hAnsi="Times New Roman" w:cs="Times New Roman"/>
          <w:color w:val="000000" w:themeColor="text1"/>
          <w:sz w:val="32"/>
          <w:szCs w:val="32"/>
        </w:rPr>
      </w:pPr>
      <w:r w:rsidRPr="002C0C57">
        <w:rPr>
          <w:rFonts w:ascii="Times New Roman" w:hAnsi="Times New Roman" w:cs="Times New Roman"/>
          <w:color w:val="000000" w:themeColor="text1"/>
          <w:sz w:val="32"/>
          <w:szCs w:val="32"/>
        </w:rPr>
        <w:t>Palestine Economic Policy Research Institute-MAS</w:t>
      </w:r>
    </w:p>
    <w:p w:rsidR="006D471A" w:rsidRPr="002C0C57" w:rsidRDefault="006D471A" w:rsidP="006D471A">
      <w:pPr>
        <w:tabs>
          <w:tab w:val="center" w:pos="4535"/>
        </w:tabs>
        <w:bidi w:val="0"/>
        <w:rPr>
          <w:rFonts w:cs="Times New Roman"/>
          <w:sz w:val="20"/>
          <w:lang w:eastAsia="en-US"/>
        </w:rPr>
      </w:pPr>
      <w:r w:rsidRPr="002C0C57">
        <w:rPr>
          <w:rFonts w:cs="Times New Roman"/>
          <w:rtl/>
          <w:lang w:val="en-GB" w:eastAsia="en-US"/>
        </w:rPr>
        <w:t> </w:t>
      </w:r>
      <w:r w:rsidRPr="002C0C57">
        <w:rPr>
          <w:rFonts w:cs="Times New Roman"/>
          <w:rtl/>
          <w:lang w:val="en-GB" w:eastAsia="en-US"/>
        </w:rPr>
        <w:tab/>
      </w:r>
    </w:p>
    <w:p w:rsidR="006D471A" w:rsidRPr="002C0C57" w:rsidRDefault="006D471A" w:rsidP="006D471A">
      <w:pPr>
        <w:bidi w:val="0"/>
        <w:rPr>
          <w:rFonts w:cs="Times New Roman"/>
          <w:lang w:val="en-GB" w:eastAsia="en-US"/>
        </w:rPr>
      </w:pPr>
      <w:r w:rsidRPr="002C0C57">
        <w:rPr>
          <w:rFonts w:cs="Times New Roman"/>
          <w:rtl/>
          <w:lang w:val="en-GB" w:eastAsia="en-US"/>
        </w:rPr>
        <w:t> </w:t>
      </w:r>
    </w:p>
    <w:p w:rsidR="006D471A" w:rsidRPr="002C0C57" w:rsidRDefault="006D471A" w:rsidP="006D471A">
      <w:pPr>
        <w:bidi w:val="0"/>
        <w:rPr>
          <w:rFonts w:cs="Times New Roman"/>
          <w:sz w:val="16"/>
          <w:szCs w:val="16"/>
          <w:lang w:eastAsia="en-US"/>
        </w:rPr>
      </w:pPr>
    </w:p>
    <w:p w:rsidR="006D471A" w:rsidRPr="002C0C57" w:rsidRDefault="006D471A" w:rsidP="006D471A">
      <w:pPr>
        <w:bidi w:val="0"/>
        <w:rPr>
          <w:rFonts w:cs="Times New Roman"/>
          <w:sz w:val="20"/>
          <w:lang w:eastAsia="en-US"/>
        </w:rPr>
      </w:pPr>
    </w:p>
    <w:p w:rsidR="001E1048" w:rsidRPr="002C0C57" w:rsidRDefault="001E1048" w:rsidP="001E1048">
      <w:pPr>
        <w:bidi w:val="0"/>
        <w:rPr>
          <w:rFonts w:cs="Times New Roman"/>
          <w:sz w:val="20"/>
          <w:lang w:eastAsia="en-US"/>
        </w:rPr>
      </w:pPr>
    </w:p>
    <w:p w:rsidR="001E1048" w:rsidRPr="002C0C57" w:rsidRDefault="001E1048" w:rsidP="001E1048">
      <w:pPr>
        <w:bidi w:val="0"/>
        <w:rPr>
          <w:rFonts w:cs="Times New Roman"/>
          <w:sz w:val="20"/>
          <w:lang w:eastAsia="en-US"/>
        </w:rPr>
      </w:pPr>
    </w:p>
    <w:p w:rsidR="001E1048" w:rsidRPr="002C0C57" w:rsidRDefault="001E1048" w:rsidP="001E1048">
      <w:pPr>
        <w:bidi w:val="0"/>
        <w:rPr>
          <w:rFonts w:cs="Times New Roman"/>
          <w:sz w:val="20"/>
          <w:lang w:eastAsia="en-US"/>
        </w:rPr>
      </w:pPr>
    </w:p>
    <w:p w:rsidR="001E1048" w:rsidRPr="002C0C57" w:rsidRDefault="001E1048" w:rsidP="001E1048">
      <w:pPr>
        <w:bidi w:val="0"/>
        <w:rPr>
          <w:rFonts w:cs="Times New Roman"/>
          <w:sz w:val="20"/>
          <w:lang w:eastAsia="en-US"/>
        </w:rPr>
      </w:pPr>
    </w:p>
    <w:p w:rsidR="001E1048" w:rsidRPr="002C0C57" w:rsidRDefault="001E1048" w:rsidP="001E1048">
      <w:pPr>
        <w:bidi w:val="0"/>
        <w:rPr>
          <w:rFonts w:cs="Times New Roman"/>
          <w:sz w:val="20"/>
          <w:lang w:eastAsia="en-US"/>
        </w:rPr>
      </w:pPr>
    </w:p>
    <w:p w:rsidR="006D471A" w:rsidRPr="002C0C57" w:rsidRDefault="006D471A" w:rsidP="006D471A">
      <w:pPr>
        <w:bidi w:val="0"/>
        <w:rPr>
          <w:rFonts w:cs="Times New Roman"/>
          <w:sz w:val="20"/>
          <w:lang w:eastAsia="en-US"/>
        </w:rPr>
      </w:pPr>
    </w:p>
    <w:p w:rsidR="006D471A" w:rsidRPr="002C0C57" w:rsidRDefault="006D471A" w:rsidP="006D471A">
      <w:pPr>
        <w:bidi w:val="0"/>
        <w:rPr>
          <w:rFonts w:cs="Times New Roman"/>
          <w:sz w:val="20"/>
          <w:lang w:eastAsia="en-US"/>
        </w:rPr>
      </w:pPr>
      <w:r w:rsidRPr="002C0C57">
        <w:rPr>
          <w:rFonts w:cs="Times New Roman"/>
          <w:rtl/>
          <w:lang w:val="en-GB" w:eastAsia="en-US"/>
        </w:rPr>
        <w:t> </w:t>
      </w:r>
    </w:p>
    <w:p w:rsidR="006D471A" w:rsidRPr="002C0C57" w:rsidRDefault="00DF3396" w:rsidP="006D471A">
      <w:pPr>
        <w:pStyle w:val="BodyText"/>
        <w:tabs>
          <w:tab w:val="center" w:pos="4535"/>
          <w:tab w:val="left" w:pos="8272"/>
        </w:tabs>
        <w:bidi w:val="0"/>
        <w:jc w:val="center"/>
        <w:rPr>
          <w:rFonts w:cs="Times New Roman"/>
          <w:b/>
          <w:bCs/>
          <w:sz w:val="28"/>
          <w:szCs w:val="28"/>
          <w:lang w:val="en-AU"/>
        </w:rPr>
      </w:pPr>
      <w:r w:rsidRPr="002C0C57">
        <w:rPr>
          <w:rFonts w:cs="Times New Roman"/>
          <w:b/>
          <w:bCs/>
          <w:sz w:val="28"/>
          <w:szCs w:val="28"/>
        </w:rPr>
        <w:t>December</w:t>
      </w:r>
      <w:r w:rsidR="006D471A" w:rsidRPr="002C0C57">
        <w:rPr>
          <w:rFonts w:cs="Times New Roman"/>
          <w:b/>
          <w:bCs/>
          <w:sz w:val="28"/>
          <w:szCs w:val="28"/>
        </w:rPr>
        <w:t>, 2012</w:t>
      </w:r>
    </w:p>
    <w:p w:rsidR="006D471A" w:rsidRPr="002C0C57" w:rsidRDefault="006D471A" w:rsidP="006D471A">
      <w:pPr>
        <w:pStyle w:val="BodyText"/>
        <w:tabs>
          <w:tab w:val="left" w:pos="7961"/>
          <w:tab w:val="right" w:pos="9071"/>
        </w:tabs>
        <w:rPr>
          <w:rFonts w:cs="Times New Roman"/>
          <w:sz w:val="16"/>
          <w:szCs w:val="16"/>
          <w:rtl/>
          <w:lang w:val="en-AU"/>
        </w:rPr>
      </w:pPr>
    </w:p>
    <w:p w:rsidR="00AC676E" w:rsidRPr="002C0C57" w:rsidRDefault="00AC676E" w:rsidP="006D471A">
      <w:pPr>
        <w:pStyle w:val="BodyText"/>
        <w:rPr>
          <w:rFonts w:cs="Times New Roman"/>
          <w:b/>
          <w:bCs/>
          <w:szCs w:val="24"/>
          <w:rtl/>
          <w:lang w:val="en-AU"/>
        </w:rPr>
      </w:pPr>
    </w:p>
    <w:p w:rsidR="00AC676E" w:rsidRPr="002C0C57" w:rsidRDefault="00AC676E" w:rsidP="006D471A">
      <w:pPr>
        <w:pStyle w:val="BodyText"/>
        <w:rPr>
          <w:rFonts w:cs="Times New Roman"/>
          <w:b/>
          <w:bCs/>
          <w:szCs w:val="24"/>
          <w:rtl/>
          <w:lang w:val="en-AU"/>
        </w:rPr>
      </w:pPr>
    </w:p>
    <w:p w:rsidR="00AC676E" w:rsidRPr="002C0C57" w:rsidRDefault="00AC676E" w:rsidP="006D471A">
      <w:pPr>
        <w:pStyle w:val="BodyText"/>
        <w:rPr>
          <w:rFonts w:cs="Times New Roman"/>
          <w:b/>
          <w:bCs/>
          <w:szCs w:val="24"/>
          <w:rtl/>
          <w:lang w:val="en-AU"/>
        </w:rPr>
      </w:pPr>
    </w:p>
    <w:p w:rsidR="00955D9F" w:rsidRPr="002C0C57" w:rsidRDefault="00955D9F" w:rsidP="006D471A">
      <w:pPr>
        <w:pStyle w:val="BodyText"/>
        <w:rPr>
          <w:rFonts w:cs="Times New Roman"/>
          <w:b/>
          <w:bCs/>
          <w:szCs w:val="24"/>
          <w:rtl/>
          <w:lang w:val="en-AU"/>
        </w:rPr>
      </w:pPr>
    </w:p>
    <w:p w:rsidR="006D471A" w:rsidRPr="002C0C57" w:rsidRDefault="00E90077" w:rsidP="006D471A">
      <w:pPr>
        <w:pStyle w:val="Title"/>
        <w:jc w:val="left"/>
        <w:rPr>
          <w:b w:val="0"/>
          <w:bCs w:val="0"/>
          <w:color w:val="FFFFFF"/>
          <w:sz w:val="24"/>
          <w:szCs w:val="24"/>
          <w:rtl/>
          <w:lang w:val="en-AU"/>
        </w:rPr>
      </w:pPr>
      <w:r w:rsidRPr="00E90077">
        <w:rPr>
          <w:noProof/>
          <w:sz w:val="32"/>
          <w:szCs w:val="20"/>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62.6pt;z-index:251660288" strokeweight="6pt">
            <v:stroke linestyle="thickBetweenThin"/>
            <v:textbox style="mso-next-textbox:#_x0000_s1026">
              <w:txbxContent>
                <w:p w:rsidR="006D471A" w:rsidRPr="003C48BB" w:rsidRDefault="006D471A" w:rsidP="00955D9F">
                  <w:pPr>
                    <w:pStyle w:val="BodyText2"/>
                    <w:bidi w:val="0"/>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6D471A" w:rsidRDefault="006D471A" w:rsidP="00370F5D">
                  <w:pPr>
                    <w:bidi w:val="0"/>
                    <w:jc w:val="both"/>
                    <w:rPr>
                      <w:sz w:val="32"/>
                      <w:rtl/>
                      <w:lang w:val="en-GB"/>
                    </w:rPr>
                  </w:pPr>
                </w:p>
              </w:txbxContent>
            </v:textbox>
            <w10:wrap anchorx="page"/>
          </v:shape>
        </w:pict>
      </w:r>
    </w:p>
    <w:p w:rsidR="006D471A" w:rsidRPr="002C0C57" w:rsidRDefault="006D471A" w:rsidP="006D471A">
      <w:pPr>
        <w:pStyle w:val="Title"/>
        <w:jc w:val="left"/>
        <w:rPr>
          <w:b w:val="0"/>
          <w:bCs w:val="0"/>
          <w:color w:val="FFFFFF"/>
          <w:sz w:val="24"/>
          <w:szCs w:val="24"/>
          <w:rtl/>
          <w:lang w:val="en-AU"/>
        </w:rPr>
      </w:pPr>
    </w:p>
    <w:p w:rsidR="006D471A" w:rsidRPr="002C0C57" w:rsidRDefault="006D471A" w:rsidP="006D471A">
      <w:pPr>
        <w:pStyle w:val="Title"/>
        <w:jc w:val="left"/>
        <w:rPr>
          <w:b w:val="0"/>
          <w:bCs w:val="0"/>
          <w:color w:val="FFFFFF"/>
          <w:sz w:val="24"/>
          <w:szCs w:val="24"/>
          <w:rtl/>
          <w:lang w:val="en-AU"/>
        </w:rPr>
      </w:pPr>
    </w:p>
    <w:p w:rsidR="006D471A" w:rsidRPr="002C0C57" w:rsidRDefault="006D471A" w:rsidP="006D471A">
      <w:pPr>
        <w:pStyle w:val="Title"/>
        <w:jc w:val="left"/>
        <w:rPr>
          <w:b w:val="0"/>
          <w:bCs w:val="0"/>
          <w:color w:val="FFFFFF"/>
          <w:sz w:val="24"/>
          <w:szCs w:val="24"/>
          <w:rtl/>
          <w:lang w:val="en-AU"/>
        </w:rPr>
      </w:pPr>
    </w:p>
    <w:p w:rsidR="006D471A" w:rsidRPr="002C0C57" w:rsidRDefault="006D471A" w:rsidP="006D471A">
      <w:pPr>
        <w:pStyle w:val="Title"/>
        <w:jc w:val="left"/>
        <w:rPr>
          <w:b w:val="0"/>
          <w:bCs w:val="0"/>
          <w:color w:val="FFFFFF"/>
          <w:sz w:val="24"/>
          <w:szCs w:val="24"/>
          <w:rtl/>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rtl/>
          <w:lang w:val="en-AU"/>
        </w:rPr>
      </w:pPr>
    </w:p>
    <w:p w:rsidR="001E1048" w:rsidRPr="002C0C57" w:rsidRDefault="001E1048" w:rsidP="006D471A">
      <w:pPr>
        <w:pStyle w:val="Title"/>
        <w:jc w:val="left"/>
        <w:rPr>
          <w:b w:val="0"/>
          <w:bCs w:val="0"/>
          <w:sz w:val="24"/>
          <w:szCs w:val="24"/>
          <w:rtl/>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rtl/>
          <w:lang w:val="en-AU"/>
        </w:rPr>
      </w:pPr>
    </w:p>
    <w:p w:rsidR="00C51574" w:rsidRPr="002C0C57" w:rsidRDefault="00C51574" w:rsidP="006D471A">
      <w:pPr>
        <w:pStyle w:val="Title"/>
        <w:jc w:val="left"/>
        <w:rPr>
          <w:b w:val="0"/>
          <w:bCs w:val="0"/>
          <w:sz w:val="24"/>
          <w:szCs w:val="24"/>
          <w:rtl/>
          <w:lang w:val="en-AU"/>
        </w:rPr>
      </w:pPr>
    </w:p>
    <w:p w:rsidR="00C51574" w:rsidRPr="002C0C57" w:rsidRDefault="00C51574" w:rsidP="006D471A">
      <w:pPr>
        <w:pStyle w:val="Title"/>
        <w:jc w:val="left"/>
        <w:rPr>
          <w:b w:val="0"/>
          <w:bCs w:val="0"/>
          <w:sz w:val="24"/>
          <w:szCs w:val="24"/>
          <w:lang w:val="en-AU"/>
        </w:rPr>
      </w:pPr>
    </w:p>
    <w:p w:rsidR="006D471A" w:rsidRPr="002C0C57" w:rsidRDefault="006D471A" w:rsidP="006D471A">
      <w:pPr>
        <w:pStyle w:val="Title"/>
        <w:jc w:val="left"/>
        <w:rPr>
          <w:b w:val="0"/>
          <w:bCs w:val="0"/>
          <w:sz w:val="18"/>
          <w:szCs w:val="18"/>
          <w:lang w:val="en-AU"/>
        </w:rPr>
      </w:pPr>
    </w:p>
    <w:p w:rsidR="006D471A" w:rsidRPr="002C0C57" w:rsidRDefault="006D471A" w:rsidP="006D471A">
      <w:pPr>
        <w:pStyle w:val="Title"/>
        <w:jc w:val="left"/>
        <w:rPr>
          <w:b w:val="0"/>
          <w:bCs w:val="0"/>
          <w:sz w:val="24"/>
          <w:szCs w:val="24"/>
          <w:lang w:val="en-AU"/>
        </w:rPr>
      </w:pPr>
    </w:p>
    <w:p w:rsidR="006D471A" w:rsidRPr="002C0C57" w:rsidRDefault="006D471A" w:rsidP="006D471A">
      <w:pPr>
        <w:pStyle w:val="Title"/>
        <w:jc w:val="left"/>
        <w:rPr>
          <w:b w:val="0"/>
          <w:bCs w:val="0"/>
          <w:sz w:val="24"/>
          <w:szCs w:val="24"/>
          <w:lang w:val="en-AU"/>
        </w:rPr>
      </w:pPr>
    </w:p>
    <w:p w:rsidR="006D471A" w:rsidRDefault="006D471A"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Default="002C0C57" w:rsidP="006D471A">
      <w:pPr>
        <w:jc w:val="both"/>
        <w:rPr>
          <w:rFonts w:cs="Times New Roman"/>
          <w:rtl/>
          <w:lang w:val="en-AU"/>
        </w:rPr>
      </w:pPr>
    </w:p>
    <w:p w:rsidR="002C0C57" w:rsidRPr="002C0C57" w:rsidRDefault="002C0C57" w:rsidP="006D471A">
      <w:pPr>
        <w:jc w:val="both"/>
        <w:rPr>
          <w:rFonts w:cs="Times New Roman"/>
          <w:rtl/>
          <w:lang w:val="en-AU"/>
        </w:rPr>
      </w:pPr>
    </w:p>
    <w:p w:rsidR="006D471A" w:rsidRPr="002C0C57" w:rsidRDefault="006D471A" w:rsidP="006D471A">
      <w:pPr>
        <w:bidi w:val="0"/>
        <w:jc w:val="left"/>
        <w:rPr>
          <w:rFonts w:cs="Times New Roman"/>
          <w:sz w:val="20"/>
          <w:rtl/>
          <w:lang w:val="en-AU"/>
        </w:rPr>
      </w:pPr>
    </w:p>
    <w:p w:rsidR="006D471A" w:rsidRPr="002C0C57" w:rsidRDefault="007D1B3A" w:rsidP="007D1B3A">
      <w:pPr>
        <w:bidi w:val="0"/>
        <w:jc w:val="left"/>
        <w:rPr>
          <w:rFonts w:cs="Times New Roman"/>
          <w:sz w:val="20"/>
        </w:rPr>
      </w:pPr>
      <w:r w:rsidRPr="002C0C57">
        <w:rPr>
          <w:rFonts w:cs="Times New Roman"/>
          <w:sz w:val="20"/>
        </w:rPr>
        <w:t>Decem</w:t>
      </w:r>
      <w:r w:rsidR="00460FFA" w:rsidRPr="002C0C57">
        <w:rPr>
          <w:rFonts w:cs="Times New Roman"/>
          <w:sz w:val="20"/>
        </w:rPr>
        <w:t>ber</w:t>
      </w:r>
      <w:r w:rsidR="006D471A" w:rsidRPr="002C0C57">
        <w:rPr>
          <w:rFonts w:cs="Times New Roman"/>
          <w:sz w:val="20"/>
        </w:rPr>
        <w:t>, 2012.</w:t>
      </w:r>
    </w:p>
    <w:p w:rsidR="006D471A" w:rsidRPr="002C0C57" w:rsidRDefault="006D471A" w:rsidP="006D471A">
      <w:pPr>
        <w:bidi w:val="0"/>
        <w:jc w:val="left"/>
        <w:rPr>
          <w:rFonts w:cs="Times New Roman"/>
          <w:sz w:val="20"/>
        </w:rPr>
      </w:pPr>
      <w:r w:rsidRPr="002C0C57">
        <w:rPr>
          <w:rFonts w:cs="Times New Roman"/>
          <w:b/>
          <w:bCs/>
          <w:sz w:val="20"/>
        </w:rPr>
        <w:t>All rights reserved.</w:t>
      </w:r>
    </w:p>
    <w:p w:rsidR="006D471A" w:rsidRPr="002C0C57" w:rsidRDefault="006D471A" w:rsidP="006D471A">
      <w:pPr>
        <w:bidi w:val="0"/>
        <w:jc w:val="left"/>
        <w:rPr>
          <w:rFonts w:cs="Times New Roman"/>
          <w:b/>
          <w:bCs/>
          <w:sz w:val="20"/>
        </w:rPr>
      </w:pPr>
    </w:p>
    <w:p w:rsidR="006D471A" w:rsidRPr="002C0C57" w:rsidRDefault="006D471A" w:rsidP="006D471A">
      <w:pPr>
        <w:bidi w:val="0"/>
        <w:jc w:val="left"/>
        <w:rPr>
          <w:rFonts w:cs="Times New Roman"/>
          <w:b/>
          <w:bCs/>
          <w:sz w:val="20"/>
        </w:rPr>
      </w:pPr>
      <w:r w:rsidRPr="002C0C57">
        <w:rPr>
          <w:rFonts w:cs="Times New Roman"/>
          <w:b/>
          <w:bCs/>
          <w:sz w:val="20"/>
        </w:rPr>
        <w:t>Suggested Citation:</w:t>
      </w:r>
    </w:p>
    <w:p w:rsidR="006D471A" w:rsidRPr="002C0C57" w:rsidRDefault="006D471A" w:rsidP="006D471A">
      <w:pPr>
        <w:bidi w:val="0"/>
        <w:jc w:val="left"/>
        <w:rPr>
          <w:rFonts w:cs="Times New Roman"/>
          <w:b/>
          <w:bCs/>
          <w:sz w:val="20"/>
          <w:rtl/>
        </w:rPr>
      </w:pPr>
    </w:p>
    <w:p w:rsidR="006D471A" w:rsidRPr="002C0C57" w:rsidRDefault="006D471A" w:rsidP="007D1B3A">
      <w:pPr>
        <w:shd w:val="clear" w:color="auto" w:fill="F5F5F5"/>
        <w:bidi w:val="0"/>
        <w:jc w:val="left"/>
        <w:textAlignment w:val="top"/>
        <w:rPr>
          <w:rFonts w:cs="Times New Roman"/>
          <w:i/>
          <w:iCs/>
          <w:color w:val="888888"/>
          <w:sz w:val="20"/>
          <w:rtl/>
          <w:lang w:eastAsia="en-US"/>
        </w:rPr>
      </w:pPr>
      <w:r w:rsidRPr="002C0C57">
        <w:rPr>
          <w:rFonts w:cs="Times New Roman"/>
          <w:b/>
          <w:bCs/>
        </w:rPr>
        <w:t xml:space="preserve">Palestinian Central Bureau of Statistics, 2012, </w:t>
      </w:r>
      <w:r w:rsidR="007D1B3A" w:rsidRPr="002C0C57">
        <w:rPr>
          <w:rFonts w:cs="Times New Roman"/>
          <w:i/>
          <w:iCs/>
          <w:color w:val="333333"/>
          <w:sz w:val="25"/>
          <w:lang w:eastAsia="en-US"/>
        </w:rPr>
        <w:t>fragmentation of agricultural holdings</w:t>
      </w:r>
      <w:r w:rsidR="007D1B3A" w:rsidRPr="002C0C57">
        <w:rPr>
          <w:rFonts w:cs="Times New Roman"/>
          <w:i/>
          <w:iCs/>
          <w:color w:val="333333"/>
          <w:sz w:val="25"/>
          <w:szCs w:val="25"/>
          <w:lang w:eastAsia="en-US"/>
        </w:rPr>
        <w:t xml:space="preserve"> </w:t>
      </w:r>
      <w:r w:rsidR="007D1B3A" w:rsidRPr="002C0C57">
        <w:rPr>
          <w:rFonts w:cs="Times New Roman"/>
          <w:i/>
          <w:iCs/>
          <w:color w:val="333333"/>
          <w:sz w:val="25"/>
          <w:lang w:eastAsia="en-US"/>
        </w:rPr>
        <w:t>and its impact on</w:t>
      </w:r>
      <w:r w:rsidR="007D1B3A" w:rsidRPr="002C0C57">
        <w:rPr>
          <w:rFonts w:cs="Times New Roman"/>
          <w:i/>
          <w:iCs/>
          <w:color w:val="333333"/>
          <w:sz w:val="25"/>
          <w:szCs w:val="25"/>
          <w:lang w:eastAsia="en-US"/>
        </w:rPr>
        <w:t xml:space="preserve"> </w:t>
      </w:r>
      <w:r w:rsidR="007D1B3A" w:rsidRPr="002C0C57">
        <w:rPr>
          <w:rFonts w:cs="Times New Roman"/>
          <w:i/>
          <w:iCs/>
          <w:color w:val="333333"/>
          <w:sz w:val="25"/>
          <w:lang w:eastAsia="en-US"/>
        </w:rPr>
        <w:t>production</w:t>
      </w:r>
      <w:r w:rsidR="007D1B3A" w:rsidRPr="002C0C57">
        <w:rPr>
          <w:rFonts w:cs="Times New Roman"/>
          <w:i/>
          <w:iCs/>
          <w:color w:val="333333"/>
          <w:sz w:val="25"/>
          <w:szCs w:val="25"/>
          <w:lang w:eastAsia="en-US"/>
        </w:rPr>
        <w:t xml:space="preserve"> </w:t>
      </w:r>
      <w:r w:rsidR="007D1B3A" w:rsidRPr="002C0C57">
        <w:rPr>
          <w:rFonts w:cs="Times New Roman"/>
          <w:i/>
          <w:iCs/>
          <w:color w:val="333333"/>
          <w:sz w:val="25"/>
          <w:lang w:eastAsia="en-US"/>
        </w:rPr>
        <w:t>and</w:t>
      </w:r>
      <w:r w:rsidR="007D1B3A" w:rsidRPr="002C0C57">
        <w:rPr>
          <w:rFonts w:cs="Times New Roman"/>
          <w:i/>
          <w:iCs/>
          <w:color w:val="333333"/>
          <w:sz w:val="25"/>
          <w:szCs w:val="25"/>
          <w:lang w:eastAsia="en-US"/>
        </w:rPr>
        <w:t xml:space="preserve"> </w:t>
      </w:r>
      <w:r w:rsidR="007D1B3A" w:rsidRPr="002C0C57">
        <w:rPr>
          <w:rFonts w:cs="Times New Roman"/>
          <w:i/>
          <w:iCs/>
          <w:color w:val="333333"/>
          <w:sz w:val="25"/>
          <w:lang w:eastAsia="en-US"/>
        </w:rPr>
        <w:t>productivity</w:t>
      </w:r>
      <w:r w:rsidRPr="002C0C57">
        <w:rPr>
          <w:rFonts w:cs="Times New Roman"/>
          <w:i/>
          <w:iCs/>
        </w:rPr>
        <w:t>. Ramallah, Palestine.</w:t>
      </w:r>
    </w:p>
    <w:p w:rsidR="006D471A" w:rsidRPr="002C0C57" w:rsidRDefault="006D471A" w:rsidP="007D1B3A">
      <w:pPr>
        <w:bidi w:val="0"/>
        <w:rPr>
          <w:rFonts w:cs="Times New Roman"/>
          <w:b/>
          <w:bCs/>
          <w:sz w:val="20"/>
          <w:rtl/>
          <w:lang w:val="en-AU"/>
        </w:rPr>
      </w:pPr>
    </w:p>
    <w:p w:rsidR="006D471A" w:rsidRPr="002C0C57" w:rsidRDefault="006D471A" w:rsidP="006D471A">
      <w:pPr>
        <w:bidi w:val="0"/>
        <w:jc w:val="left"/>
        <w:rPr>
          <w:rFonts w:cs="Times New Roman"/>
          <w:sz w:val="20"/>
          <w:lang w:eastAsia="en-US"/>
        </w:rPr>
      </w:pPr>
      <w:r w:rsidRPr="002C0C57">
        <w:rPr>
          <w:rFonts w:cs="Times New Roman"/>
          <w:sz w:val="20"/>
          <w:lang w:eastAsia="en-US"/>
        </w:rPr>
        <w:t>All correspondence should be directed to:</w:t>
      </w:r>
    </w:p>
    <w:p w:rsidR="006D471A" w:rsidRPr="002C0C57" w:rsidRDefault="006D471A" w:rsidP="006D471A">
      <w:pPr>
        <w:bidi w:val="0"/>
        <w:jc w:val="left"/>
        <w:rPr>
          <w:rFonts w:cs="Times New Roman"/>
          <w:b/>
          <w:bCs/>
          <w:sz w:val="20"/>
          <w:lang w:eastAsia="en-US"/>
        </w:rPr>
      </w:pPr>
      <w:r w:rsidRPr="002C0C57">
        <w:rPr>
          <w:rFonts w:cs="Times New Roman"/>
          <w:b/>
          <w:bCs/>
          <w:sz w:val="20"/>
          <w:lang w:eastAsia="en-US"/>
        </w:rPr>
        <w:t>Palestinian Central Bureau of Statistics</w:t>
      </w:r>
    </w:p>
    <w:p w:rsidR="006D471A" w:rsidRPr="002C0C57" w:rsidRDefault="006D471A" w:rsidP="006D471A">
      <w:pPr>
        <w:bidi w:val="0"/>
        <w:jc w:val="left"/>
        <w:rPr>
          <w:rFonts w:cs="Times New Roman"/>
          <w:b/>
          <w:bCs/>
          <w:sz w:val="20"/>
          <w:lang w:eastAsia="en-US"/>
        </w:rPr>
      </w:pPr>
      <w:r w:rsidRPr="002C0C57">
        <w:rPr>
          <w:rFonts w:cs="Times New Roman"/>
          <w:b/>
          <w:bCs/>
          <w:sz w:val="20"/>
          <w:lang w:eastAsia="en-US"/>
        </w:rPr>
        <w:t>P.O.Box 1647 Ramallah, Palestine.</w:t>
      </w:r>
    </w:p>
    <w:p w:rsidR="006D471A" w:rsidRPr="002C0C57" w:rsidRDefault="006D471A" w:rsidP="006D471A">
      <w:pPr>
        <w:bidi w:val="0"/>
        <w:jc w:val="left"/>
        <w:rPr>
          <w:rFonts w:cs="Times New Roman"/>
          <w:b/>
          <w:bCs/>
          <w:sz w:val="20"/>
        </w:rPr>
      </w:pPr>
    </w:p>
    <w:p w:rsidR="006D471A" w:rsidRPr="002C0C57" w:rsidRDefault="006D471A" w:rsidP="006D471A">
      <w:pPr>
        <w:bidi w:val="0"/>
        <w:jc w:val="left"/>
        <w:rPr>
          <w:rFonts w:cs="Times New Roman"/>
          <w:sz w:val="20"/>
          <w:lang w:eastAsia="en-US"/>
        </w:rPr>
      </w:pPr>
      <w:r w:rsidRPr="002C0C57">
        <w:rPr>
          <w:rFonts w:cs="Times New Roman"/>
          <w:sz w:val="20"/>
          <w:lang w:eastAsia="en-US"/>
        </w:rPr>
        <w:t>Tel: (972/970) 2</w:t>
      </w:r>
      <w:r w:rsidRPr="002C0C57">
        <w:rPr>
          <w:rFonts w:cs="Times New Roman"/>
          <w:sz w:val="20"/>
          <w:rtl/>
          <w:lang w:eastAsia="en-US"/>
        </w:rPr>
        <w:t xml:space="preserve"> 2</w:t>
      </w:r>
      <w:r w:rsidRPr="002C0C57">
        <w:rPr>
          <w:rFonts w:cs="Times New Roman"/>
          <w:sz w:val="20"/>
          <w:lang w:eastAsia="en-US"/>
        </w:rPr>
        <w:t>98 2700</w:t>
      </w:r>
    </w:p>
    <w:p w:rsidR="006D471A" w:rsidRPr="002C0C57" w:rsidRDefault="006D471A" w:rsidP="006D471A">
      <w:pPr>
        <w:bidi w:val="0"/>
        <w:jc w:val="left"/>
        <w:rPr>
          <w:rFonts w:cs="Times New Roman"/>
          <w:sz w:val="20"/>
          <w:lang w:eastAsia="en-US"/>
        </w:rPr>
      </w:pPr>
      <w:r w:rsidRPr="002C0C57">
        <w:rPr>
          <w:rFonts w:cs="Times New Roman"/>
          <w:sz w:val="20"/>
          <w:lang w:eastAsia="en-US"/>
        </w:rPr>
        <w:t xml:space="preserve">Fax: ( 972/970) 2 </w:t>
      </w:r>
      <w:r w:rsidRPr="002C0C57">
        <w:rPr>
          <w:rFonts w:cs="Times New Roman"/>
          <w:sz w:val="20"/>
          <w:rtl/>
          <w:lang w:eastAsia="en-US"/>
        </w:rPr>
        <w:t>2</w:t>
      </w:r>
      <w:r w:rsidRPr="002C0C57">
        <w:rPr>
          <w:rFonts w:cs="Times New Roman"/>
          <w:sz w:val="20"/>
          <w:lang w:eastAsia="en-US"/>
        </w:rPr>
        <w:t>98 2710</w:t>
      </w:r>
    </w:p>
    <w:p w:rsidR="006D471A" w:rsidRPr="002C0C57" w:rsidRDefault="006D471A" w:rsidP="006D471A">
      <w:pPr>
        <w:bidi w:val="0"/>
        <w:jc w:val="left"/>
        <w:rPr>
          <w:rFonts w:cs="Times New Roman"/>
          <w:sz w:val="20"/>
          <w:lang w:eastAsia="en-US"/>
        </w:rPr>
      </w:pPr>
      <w:r w:rsidRPr="002C0C57">
        <w:rPr>
          <w:rFonts w:cs="Times New Roman"/>
          <w:sz w:val="20"/>
          <w:lang w:eastAsia="en-US"/>
        </w:rPr>
        <w:t>Toll Free: 1800300300</w:t>
      </w:r>
    </w:p>
    <w:p w:rsidR="006D471A" w:rsidRPr="002C0C57" w:rsidRDefault="006D471A" w:rsidP="006D471A">
      <w:pPr>
        <w:bidi w:val="0"/>
        <w:jc w:val="left"/>
        <w:rPr>
          <w:rFonts w:cs="Times New Roman"/>
          <w:sz w:val="20"/>
          <w:lang w:eastAsia="en-US"/>
        </w:rPr>
      </w:pPr>
      <w:r w:rsidRPr="002C0C57">
        <w:rPr>
          <w:rFonts w:cs="Times New Roman"/>
          <w:sz w:val="20"/>
          <w:lang w:eastAsia="en-US"/>
        </w:rPr>
        <w:t xml:space="preserve">E-Mail: </w:t>
      </w:r>
      <w:hyperlink r:id="rId7" w:history="1">
        <w:r w:rsidRPr="002C0C57">
          <w:rPr>
            <w:rStyle w:val="Hyperlink"/>
            <w:rFonts w:cs="Times New Roman"/>
            <w:sz w:val="20"/>
            <w:lang w:eastAsia="en-US"/>
          </w:rPr>
          <w:t>diwan@pcbs.gov.ps</w:t>
        </w:r>
      </w:hyperlink>
    </w:p>
    <w:p w:rsidR="006D471A" w:rsidRPr="002C0C57" w:rsidRDefault="006D471A" w:rsidP="006D471A">
      <w:pPr>
        <w:bidi w:val="0"/>
        <w:jc w:val="left"/>
        <w:rPr>
          <w:rFonts w:cs="Times New Roman"/>
          <w:sz w:val="16"/>
          <w:szCs w:val="16"/>
        </w:rPr>
      </w:pPr>
      <w:r w:rsidRPr="002C0C57">
        <w:rPr>
          <w:rFonts w:cs="Times New Roman"/>
          <w:sz w:val="20"/>
          <w:lang w:eastAsia="en-US"/>
        </w:rPr>
        <w:t xml:space="preserve">web-site:  </w:t>
      </w:r>
      <w:hyperlink r:id="rId8" w:history="1">
        <w:r w:rsidRPr="002C0C57">
          <w:rPr>
            <w:rStyle w:val="Hyperlink"/>
            <w:rFonts w:cs="Times New Roman"/>
            <w:sz w:val="20"/>
            <w:lang w:eastAsia="en-US"/>
          </w:rPr>
          <w:t>http://www.pcbs.gov.ps</w:t>
        </w:r>
      </w:hyperlink>
    </w:p>
    <w:p w:rsidR="001E1048" w:rsidRPr="002C0C57" w:rsidRDefault="001E1048" w:rsidP="001E1048">
      <w:pPr>
        <w:pStyle w:val="Heading8"/>
        <w:bidi w:val="0"/>
        <w:ind w:left="1080" w:right="70" w:hanging="1274"/>
        <w:rPr>
          <w:rFonts w:ascii="Times New Roman" w:hAnsi="Times New Roman" w:cs="Times New Roman"/>
          <w:b/>
          <w:bCs/>
          <w:color w:val="auto"/>
          <w:sz w:val="28"/>
        </w:rPr>
      </w:pPr>
      <w:r w:rsidRPr="002C0C57">
        <w:rPr>
          <w:rFonts w:ascii="Times New Roman" w:hAnsi="Times New Roman" w:cs="Times New Roman"/>
          <w:b/>
          <w:bCs/>
          <w:color w:val="auto"/>
          <w:sz w:val="28"/>
        </w:rPr>
        <w:lastRenderedPageBreak/>
        <w:t>Acknowledgments</w:t>
      </w:r>
    </w:p>
    <w:p w:rsidR="001E1048" w:rsidRPr="002C0C57" w:rsidRDefault="001E1048" w:rsidP="0022748A">
      <w:pPr>
        <w:pStyle w:val="BodyText"/>
        <w:bidi w:val="0"/>
        <w:ind w:right="70"/>
        <w:jc w:val="both"/>
        <w:rPr>
          <w:rFonts w:cs="Times New Roman"/>
          <w:b/>
          <w:bCs/>
          <w:szCs w:val="24"/>
        </w:rPr>
      </w:pPr>
      <w:r w:rsidRPr="002C0C57">
        <w:rPr>
          <w:rFonts w:cs="Times New Roman"/>
        </w:rPr>
        <w:br/>
      </w:r>
      <w:r w:rsidRPr="002C0C57">
        <w:rPr>
          <w:rFonts w:cs="Times New Roman"/>
          <w:b/>
          <w:bCs/>
          <w:szCs w:val="24"/>
        </w:rPr>
        <w:t xml:space="preserve">This study was carried out funding from </w:t>
      </w:r>
      <w:r w:rsidR="0022748A" w:rsidRPr="002C0C57">
        <w:rPr>
          <w:rFonts w:cs="Times New Roman"/>
          <w:b/>
          <w:bCs/>
          <w:szCs w:val="24"/>
        </w:rPr>
        <w:t xml:space="preserve">the World Bank (WB), </w:t>
      </w:r>
      <w:r w:rsidRPr="002C0C57">
        <w:rPr>
          <w:rFonts w:cs="Times New Roman"/>
          <w:b/>
          <w:bCs/>
          <w:szCs w:val="24"/>
        </w:rPr>
        <w:t xml:space="preserve">PCBS expresses its gratitude to the World Bank (WB), </w:t>
      </w:r>
      <w:r w:rsidRPr="002C0C57">
        <w:rPr>
          <w:rFonts w:cs="Times New Roman"/>
          <w:b/>
          <w:bCs/>
          <w:szCs w:val="24"/>
          <w:lang w:eastAsia="en-US"/>
        </w:rPr>
        <w:t>for their valuable contribution towards the funding of preparation and printing</w:t>
      </w:r>
      <w:r w:rsidR="00B11FD0" w:rsidRPr="002C0C57">
        <w:rPr>
          <w:rFonts w:cs="Times New Roman"/>
          <w:b/>
          <w:bCs/>
          <w:szCs w:val="24"/>
          <w:lang w:eastAsia="en-US"/>
        </w:rPr>
        <w:t xml:space="preserve"> the study</w:t>
      </w:r>
      <w:r w:rsidRPr="002C0C57">
        <w:rPr>
          <w:rFonts w:cs="Times New Roman"/>
          <w:b/>
          <w:bCs/>
          <w:szCs w:val="24"/>
          <w:lang w:eastAsia="en-US"/>
        </w:rPr>
        <w:t>.</w:t>
      </w:r>
    </w:p>
    <w:p w:rsidR="001E1048" w:rsidRPr="002C0C57" w:rsidRDefault="001E1048" w:rsidP="001E1048">
      <w:pPr>
        <w:tabs>
          <w:tab w:val="left" w:pos="8280"/>
        </w:tabs>
        <w:bidi w:val="0"/>
        <w:jc w:val="left"/>
        <w:rPr>
          <w:rFonts w:cs="Times New Roman"/>
          <w:b/>
          <w:bCs/>
          <w:sz w:val="28"/>
          <w:szCs w:val="28"/>
        </w:rPr>
      </w:pPr>
      <w:r w:rsidRPr="002C0C57">
        <w:rPr>
          <w:rFonts w:cs="Times New Roman"/>
          <w:b/>
          <w:bCs/>
          <w:sz w:val="28"/>
          <w:szCs w:val="28"/>
        </w:rPr>
        <w:tab/>
      </w: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1E1048" w:rsidRPr="002C0C57" w:rsidRDefault="001E1048" w:rsidP="001E1048">
      <w:pPr>
        <w:bidi w:val="0"/>
        <w:rPr>
          <w:rFonts w:cs="Times New Roman"/>
          <w:b/>
          <w:bCs/>
          <w:sz w:val="28"/>
          <w:szCs w:val="28"/>
        </w:rPr>
      </w:pPr>
    </w:p>
    <w:p w:rsidR="00617364" w:rsidRPr="002C0C57" w:rsidRDefault="00617364" w:rsidP="00617364">
      <w:pPr>
        <w:bidi w:val="0"/>
        <w:rPr>
          <w:rFonts w:cs="Times New Roman"/>
          <w:b/>
          <w:bCs/>
          <w:sz w:val="28"/>
          <w:szCs w:val="28"/>
        </w:rPr>
      </w:pPr>
    </w:p>
    <w:p w:rsidR="00617364" w:rsidRPr="002C0C57" w:rsidRDefault="00617364" w:rsidP="00617364">
      <w:pPr>
        <w:bidi w:val="0"/>
        <w:rPr>
          <w:rFonts w:cs="Times New Roman"/>
          <w:b/>
          <w:bCs/>
          <w:sz w:val="28"/>
          <w:szCs w:val="28"/>
        </w:rPr>
      </w:pPr>
    </w:p>
    <w:p w:rsidR="0022748A" w:rsidRPr="002C0C57" w:rsidRDefault="0022748A" w:rsidP="0022748A">
      <w:pPr>
        <w:bidi w:val="0"/>
        <w:rPr>
          <w:rFonts w:cs="Times New Roman"/>
          <w:b/>
          <w:bCs/>
          <w:sz w:val="28"/>
          <w:szCs w:val="28"/>
        </w:rPr>
      </w:pPr>
    </w:p>
    <w:p w:rsidR="0022748A" w:rsidRPr="002C0C57" w:rsidRDefault="0022748A" w:rsidP="0022748A">
      <w:pPr>
        <w:bidi w:val="0"/>
        <w:rPr>
          <w:rFonts w:cs="Times New Roman"/>
          <w:b/>
          <w:bCs/>
          <w:sz w:val="28"/>
          <w:szCs w:val="28"/>
        </w:rPr>
      </w:pPr>
    </w:p>
    <w:p w:rsidR="0022748A" w:rsidRPr="002C0C57" w:rsidRDefault="0022748A" w:rsidP="0022748A">
      <w:pPr>
        <w:bidi w:val="0"/>
        <w:rPr>
          <w:rFonts w:cs="Times New Roman"/>
          <w:b/>
          <w:bCs/>
          <w:sz w:val="28"/>
          <w:szCs w:val="28"/>
        </w:rPr>
      </w:pPr>
    </w:p>
    <w:p w:rsidR="00617364" w:rsidRPr="002C0C57" w:rsidRDefault="00617364" w:rsidP="00617364">
      <w:pPr>
        <w:bidi w:val="0"/>
        <w:rPr>
          <w:rFonts w:cs="Times New Roman"/>
          <w:b/>
          <w:bCs/>
          <w:sz w:val="28"/>
          <w:szCs w:val="28"/>
        </w:rPr>
      </w:pPr>
    </w:p>
    <w:p w:rsidR="00617364" w:rsidRPr="002C0C57" w:rsidRDefault="00617364" w:rsidP="00617364">
      <w:pPr>
        <w:bidi w:val="0"/>
        <w:rPr>
          <w:rFonts w:cs="Times New Roman"/>
          <w:b/>
          <w:bCs/>
          <w:sz w:val="28"/>
          <w:szCs w:val="28"/>
        </w:rPr>
      </w:pPr>
    </w:p>
    <w:p w:rsidR="00617364" w:rsidRPr="002C0C57" w:rsidRDefault="00617364" w:rsidP="00617364">
      <w:pPr>
        <w:bidi w:val="0"/>
        <w:rPr>
          <w:rFonts w:cs="Times New Roman"/>
          <w:b/>
          <w:bCs/>
          <w:sz w:val="28"/>
          <w:szCs w:val="28"/>
        </w:rPr>
      </w:pPr>
    </w:p>
    <w:p w:rsidR="001E1048" w:rsidRPr="002C0C57" w:rsidRDefault="001E1048" w:rsidP="001E1048">
      <w:pPr>
        <w:bidi w:val="0"/>
        <w:rPr>
          <w:rFonts w:cs="Times New Roman"/>
          <w:b/>
          <w:bCs/>
          <w:sz w:val="28"/>
          <w:szCs w:val="28"/>
        </w:rPr>
      </w:pPr>
    </w:p>
    <w:p w:rsidR="008B223D" w:rsidRPr="002C0C57" w:rsidRDefault="008B223D" w:rsidP="008B223D">
      <w:pPr>
        <w:bidi w:val="0"/>
        <w:rPr>
          <w:rFonts w:cs="Times New Roman"/>
          <w:b/>
          <w:bCs/>
          <w:sz w:val="28"/>
          <w:szCs w:val="28"/>
        </w:rPr>
      </w:pPr>
      <w:r w:rsidRPr="002C0C57">
        <w:rPr>
          <w:rFonts w:cs="Times New Roman"/>
          <w:b/>
          <w:bCs/>
          <w:sz w:val="28"/>
          <w:szCs w:val="28"/>
        </w:rPr>
        <w:lastRenderedPageBreak/>
        <w:t>Executive Summary</w:t>
      </w:r>
    </w:p>
    <w:p w:rsidR="008B223D" w:rsidRPr="002C0C57" w:rsidRDefault="008B223D" w:rsidP="008B223D">
      <w:pPr>
        <w:bidi w:val="0"/>
        <w:rPr>
          <w:rFonts w:cs="Times New Roman"/>
          <w:b/>
          <w:bCs/>
          <w:sz w:val="28"/>
          <w:szCs w:val="28"/>
        </w:rPr>
      </w:pPr>
    </w:p>
    <w:p w:rsidR="00DC4ED5" w:rsidRPr="002C0C57" w:rsidRDefault="00DC4ED5" w:rsidP="00DC4ED5">
      <w:pPr>
        <w:bidi w:val="0"/>
        <w:jc w:val="both"/>
        <w:rPr>
          <w:rFonts w:cs="Times New Roman"/>
          <w:sz w:val="22"/>
          <w:szCs w:val="22"/>
        </w:rPr>
      </w:pPr>
      <w:r w:rsidRPr="002C0C57">
        <w:rPr>
          <w:rFonts w:cs="Times New Roman"/>
        </w:rPr>
        <w:t>This study aims to employ the results of the agricultural census, which was carried out in both the West Bank and Gaza Strip cooperatively by the Palestinian Central Bureau of Statistics and the Ministry of Agriculture in 2010, to study fragmentation in agricultural holdings and the equality of their distribution in the occupied Palestinian Territory. In particular, the study seeks to achieve a number of objectives, most notably identifying the size of the agricultural land holdings (numbers and areas); classifying them in terms of area; comparing the size of agricultural holdings in the West Bank (north, center and south) to those in Gaza Strip; drawing a comparison between these holdings in different Palestinian governorates; analyzing the differences in the average size of the agricultural holdings in terms of their features; analyzing the differences in the average size of the agricultural holdings in terms of the socio-economic characteristics of the holders; analyzing the differences in the average size of agricultural holdings in terms of agricultural technological types; drawing Lorenz Curve to obtain a graphical representation of the cumulative distribution of the possession of agricultural holdings in the entire Palestinian Territory as a whole, in the West Bank and in Gaza Strip, as well as in different governorates; measuring the equality of distribution of holdings by calculating the Gini Coefficient in the entire Palestinian Territory, in the West Bank and in Gaza Strip, as well as in different governorates; and proposing recommendations to mitigate the effects of fragmentation of agricultural holdings and fight inequality in  holdings distribution.</w:t>
      </w:r>
    </w:p>
    <w:p w:rsidR="00DC4ED5" w:rsidRPr="002C0C57" w:rsidRDefault="00DC4ED5" w:rsidP="00DC4ED5">
      <w:pPr>
        <w:bidi w:val="0"/>
        <w:jc w:val="both"/>
        <w:rPr>
          <w:rFonts w:cs="Times New Roman"/>
        </w:rPr>
      </w:pPr>
      <w:r w:rsidRPr="002C0C57">
        <w:rPr>
          <w:rFonts w:cs="Times New Roman"/>
        </w:rPr>
        <w:t xml:space="preserve"> </w:t>
      </w:r>
      <w:r w:rsidRPr="002C0C57">
        <w:rPr>
          <w:rFonts w:cs="Times New Roman"/>
        </w:rPr>
        <w:br/>
        <w:t>This study is important in the sense that it employs the results of the agricultural census to analyze the fragmentation of agricultural holdings and the equality/inequality in their distribution. It also studies the impact of the size of agricultural land holdings on management of holdings, the effects of size on the objectives of the production process and implications on types of technology used. Several groups of concerned people are expected to benefit from the results of this study, particularly 1) farmers; 2) decision makers (informing appropriate decision-making in terms of the consolidation of agricultural holdings, which will improve productivity of land, enhance the total production, increase income of farmers and ensure a Palestinian food security; 3) agricultural cooperatives, especially those interested in consolidating agricultural holdings; 4) private agricultural companies (in terms of the types of technology used in each category of holdings).</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To analyze the results of the census, the study adopts the descriptive and analytical statistical approach. Descriptively, the study calculates frequencies and percentages to describe the numbers and areas of holdings, as well as the differences between them in the entire Palestinian Territory, in the West Bank and Gaza Strip, as well as in different governorates. To understand the deviation of the areas of the holdings from </w:t>
      </w:r>
      <w:r w:rsidRPr="002C0C57">
        <w:rPr>
          <w:rStyle w:val="hps"/>
          <w:rFonts w:cs="Times New Roman"/>
        </w:rPr>
        <w:t xml:space="preserve">the arithmetic mean (as a tool to measure fragmentation), the  </w:t>
      </w:r>
      <w:r w:rsidRPr="002C0C57">
        <w:rPr>
          <w:rFonts w:cs="Times New Roman"/>
        </w:rPr>
        <w:t xml:space="preserve">study also calculates the average, median, standard deviation, standard error and the relative standard error of the sampling. To illustrate equality in the distribution of agricultural holdings in the occupied Palestinian Territory, the paper utilizes two approaches. First, it draws Lorenz Curve to study the distribution of areas of agricultural holdings between holders in the Occupied Palestinian Territory, and in the West Bank and in Gaza Strip separately, as well as across the different Palestinian governorates. Second, it calculates the Gini Coefficient so as to measure the equality of distribution of agricultural holdings among holders in the Occupied Palestinian Territory, in the West Bank and in Gaza Strip separately, as well as in the different governorates. Analytically, the study conducts (t-tests) and </w:t>
      </w:r>
      <w:r w:rsidRPr="002C0C57">
        <w:rPr>
          <w:rStyle w:val="st"/>
          <w:rFonts w:cs="Times New Roman"/>
        </w:rPr>
        <w:t xml:space="preserve">one-way </w:t>
      </w:r>
      <w:r w:rsidRPr="002C0C57">
        <w:rPr>
          <w:rStyle w:val="Emphasis"/>
          <w:rFonts w:cs="Times New Roman"/>
        </w:rPr>
        <w:t xml:space="preserve">analysis of variance </w:t>
      </w:r>
      <w:r w:rsidRPr="002C0C57">
        <w:rPr>
          <w:rFonts w:cs="Times New Roman"/>
        </w:rPr>
        <w:t xml:space="preserve">(ANOVA) to analyze the differences in the average areas of holdings according to region (in the West Bank and Gaza Strip as well as across </w:t>
      </w:r>
      <w:r w:rsidRPr="002C0C57">
        <w:rPr>
          <w:rFonts w:cs="Times New Roman"/>
        </w:rPr>
        <w:lastRenderedPageBreak/>
        <w:t>governorates), and according to the characteristics of holdings, characteristics of the holders, and the types of agricultural technology.</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The study has no geographical limits. It covers all the occupied Palestinian Territory, as the agricultural census surveyed the West Bank and its eleven governorates, and the Gaza Strip and its five governorates. However, because the census found that 71% of the holdings are plant holdings, and because many of the live-stock holdings are non-land holdings, the analysis will be limited to agricultural holdings which involve land holdings (plant and mixed). Finally, the study excludes observations that do not give a definitive answer to a question, and this explains the minor differences in the total figures of the holders and holdings when discussing a specific property of the holders or a specific characteristic of the agricultural holdings, both in terms of number and area.</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The study found that areas of agricultural holdings are fragmented and that they are inequitably distributed. This is clearly featured by several indicators. First, the average areas of </w:t>
      </w:r>
      <w:r w:rsidRPr="002C0C57">
        <w:rPr>
          <w:rFonts w:ascii="Cambria Math" w:hAnsi="Cambria Math" w:cs="Times New Roman"/>
        </w:rPr>
        <w:t>​​</w:t>
      </w:r>
      <w:r w:rsidRPr="002C0C57">
        <w:rPr>
          <w:rFonts w:cs="Times New Roman"/>
        </w:rPr>
        <w:t xml:space="preserve">holdings are relatively small (with an average area of </w:t>
      </w:r>
      <w:r w:rsidRPr="002C0C57">
        <w:rPr>
          <w:rFonts w:ascii="Cambria Math" w:hAnsi="Cambria Math" w:cs="Times New Roman"/>
        </w:rPr>
        <w:t>​​</w:t>
      </w:r>
      <w:r w:rsidRPr="002C0C57">
        <w:rPr>
          <w:rFonts w:cs="Times New Roman"/>
        </w:rPr>
        <w:t xml:space="preserve">plant and mixed holding of </w:t>
      </w:r>
      <w:r>
        <w:rPr>
          <w:rFonts w:cs="Times New Roman"/>
        </w:rPr>
        <w:t>12.4</w:t>
      </w:r>
      <w:r w:rsidRPr="002C0C57">
        <w:rPr>
          <w:rFonts w:cs="Times New Roman"/>
        </w:rPr>
        <w:t xml:space="preserve"> dunums). The results also suggest that the average area of a holding in the West Bank is scantly larger than the average area in the Palestinian Territory (about </w:t>
      </w:r>
      <w:r>
        <w:rPr>
          <w:rFonts w:cs="Times New Roman"/>
        </w:rPr>
        <w:t>13</w:t>
      </w:r>
      <w:r w:rsidRPr="002C0C57">
        <w:rPr>
          <w:rFonts w:cs="Times New Roman"/>
        </w:rPr>
        <w:t>.</w:t>
      </w:r>
      <w:r>
        <w:rPr>
          <w:rFonts w:cs="Times New Roman"/>
        </w:rPr>
        <w:t>8</w:t>
      </w:r>
      <w:r w:rsidRPr="002C0C57">
        <w:rPr>
          <w:rFonts w:cs="Times New Roman"/>
        </w:rPr>
        <w:t xml:space="preserve"> dunums in the West Bank compared to </w:t>
      </w:r>
      <w:r>
        <w:rPr>
          <w:rFonts w:cs="Times New Roman"/>
        </w:rPr>
        <w:t>5</w:t>
      </w:r>
      <w:r w:rsidRPr="002C0C57">
        <w:rPr>
          <w:rFonts w:cs="Times New Roman"/>
        </w:rPr>
        <w:t>.</w:t>
      </w:r>
      <w:r>
        <w:rPr>
          <w:rFonts w:cs="Times New Roman"/>
        </w:rPr>
        <w:t>9</w:t>
      </w:r>
      <w:r w:rsidRPr="002C0C57">
        <w:rPr>
          <w:rFonts w:cs="Times New Roman"/>
        </w:rPr>
        <w:t xml:space="preserve"> dunums in Gaza Strip). The av</w:t>
      </w:r>
      <w:r>
        <w:rPr>
          <w:rFonts w:cs="Times New Roman"/>
        </w:rPr>
        <w:t>erage areas of holdings in the n</w:t>
      </w:r>
      <w:r w:rsidRPr="002C0C57">
        <w:rPr>
          <w:rFonts w:cs="Times New Roman"/>
        </w:rPr>
        <w:t>orthern We</w:t>
      </w:r>
      <w:r>
        <w:rPr>
          <w:rFonts w:cs="Times New Roman"/>
        </w:rPr>
        <w:t>st Bank, Central West Bank and s</w:t>
      </w:r>
      <w:r w:rsidRPr="002C0C57">
        <w:rPr>
          <w:rFonts w:cs="Times New Roman"/>
        </w:rPr>
        <w:t xml:space="preserve">outhern West Bank are </w:t>
      </w:r>
      <w:r>
        <w:rPr>
          <w:rFonts w:cs="Times New Roman"/>
        </w:rPr>
        <w:t>15</w:t>
      </w:r>
      <w:r w:rsidRPr="002C0C57">
        <w:rPr>
          <w:rFonts w:cs="Times New Roman"/>
        </w:rPr>
        <w:t>.</w:t>
      </w:r>
      <w:r>
        <w:rPr>
          <w:rFonts w:cs="Times New Roman"/>
        </w:rPr>
        <w:t>1</w:t>
      </w:r>
      <w:r w:rsidRPr="002C0C57">
        <w:rPr>
          <w:rFonts w:cs="Times New Roman"/>
        </w:rPr>
        <w:t xml:space="preserve">, </w:t>
      </w:r>
      <w:r>
        <w:rPr>
          <w:rFonts w:cs="Times New Roman"/>
        </w:rPr>
        <w:t>13</w:t>
      </w:r>
      <w:r w:rsidRPr="002C0C57">
        <w:rPr>
          <w:rFonts w:cs="Times New Roman"/>
        </w:rPr>
        <w:t>.</w:t>
      </w:r>
      <w:r>
        <w:rPr>
          <w:rFonts w:cs="Times New Roman"/>
        </w:rPr>
        <w:t>6</w:t>
      </w:r>
      <w:r w:rsidRPr="002C0C57">
        <w:rPr>
          <w:rFonts w:cs="Times New Roman"/>
        </w:rPr>
        <w:t xml:space="preserve"> and </w:t>
      </w:r>
      <w:r>
        <w:rPr>
          <w:rFonts w:cs="Times New Roman"/>
        </w:rPr>
        <w:t>11</w:t>
      </w:r>
      <w:r w:rsidRPr="002C0C57">
        <w:rPr>
          <w:rFonts w:cs="Times New Roman"/>
        </w:rPr>
        <w:t>.</w:t>
      </w:r>
      <w:r>
        <w:rPr>
          <w:rFonts w:cs="Times New Roman"/>
        </w:rPr>
        <w:t>3</w:t>
      </w:r>
      <w:r w:rsidRPr="002C0C57">
        <w:rPr>
          <w:rFonts w:cs="Times New Roman"/>
        </w:rPr>
        <w:t xml:space="preserve"> dunums, respectively. By governorate, the results of the analysis indicate that the average area of </w:t>
      </w:r>
      <w:r w:rsidRPr="002C0C57">
        <w:rPr>
          <w:rFonts w:ascii="Cambria Math" w:hAnsi="Cambria Math" w:cs="Times New Roman"/>
        </w:rPr>
        <w:t>​​</w:t>
      </w:r>
      <w:r w:rsidRPr="002C0C57">
        <w:rPr>
          <w:rFonts w:cs="Times New Roman"/>
        </w:rPr>
        <w:t xml:space="preserve">holdings varies across governorates, down from </w:t>
      </w:r>
      <w:r>
        <w:rPr>
          <w:rFonts w:cs="Times New Roman"/>
        </w:rPr>
        <w:t>5</w:t>
      </w:r>
      <w:r w:rsidRPr="002C0C57">
        <w:rPr>
          <w:rFonts w:cs="Times New Roman"/>
        </w:rPr>
        <w:t>.</w:t>
      </w:r>
      <w:r>
        <w:rPr>
          <w:rFonts w:cs="Times New Roman"/>
        </w:rPr>
        <w:t>3</w:t>
      </w:r>
      <w:r w:rsidRPr="002C0C57">
        <w:rPr>
          <w:rFonts w:cs="Times New Roman"/>
        </w:rPr>
        <w:t xml:space="preserve"> dunums in </w:t>
      </w:r>
      <w:r>
        <w:rPr>
          <w:rFonts w:cs="Times New Roman"/>
        </w:rPr>
        <w:t xml:space="preserve">Khan </w:t>
      </w:r>
      <w:proofErr w:type="spellStart"/>
      <w:r>
        <w:rPr>
          <w:rFonts w:cs="Times New Roman"/>
        </w:rPr>
        <w:t>Younis</w:t>
      </w:r>
      <w:proofErr w:type="spellEnd"/>
      <w:r w:rsidRPr="002C0C57">
        <w:rPr>
          <w:rFonts w:cs="Times New Roman"/>
        </w:rPr>
        <w:t xml:space="preserve"> up to </w:t>
      </w:r>
      <w:r>
        <w:rPr>
          <w:rFonts w:cs="Times New Roman"/>
        </w:rPr>
        <w:t>49</w:t>
      </w:r>
      <w:r w:rsidRPr="002C0C57">
        <w:rPr>
          <w:rFonts w:cs="Times New Roman"/>
        </w:rPr>
        <w:t>.4 dunums in Jericho and Al-</w:t>
      </w:r>
      <w:proofErr w:type="spellStart"/>
      <w:r w:rsidRPr="002C0C57">
        <w:rPr>
          <w:rFonts w:cs="Times New Roman"/>
        </w:rPr>
        <w:t>Agwar</w:t>
      </w:r>
      <w:proofErr w:type="spellEnd"/>
      <w:r w:rsidRPr="002C0C57">
        <w:rPr>
          <w:rFonts w:cs="Times New Roman"/>
        </w:rPr>
        <w:t xml:space="preserve">. The results also suggest that, in addition to </w:t>
      </w:r>
      <w:r>
        <w:rPr>
          <w:rFonts w:cs="Times New Roman"/>
        </w:rPr>
        <w:t xml:space="preserve">Khan </w:t>
      </w:r>
      <w:proofErr w:type="spellStart"/>
      <w:r>
        <w:rPr>
          <w:rFonts w:cs="Times New Roman"/>
        </w:rPr>
        <w:t>Younis</w:t>
      </w:r>
      <w:proofErr w:type="spellEnd"/>
      <w:r w:rsidRPr="002C0C57">
        <w:rPr>
          <w:rFonts w:cs="Times New Roman"/>
        </w:rPr>
        <w:t xml:space="preserve">, the average area of </w:t>
      </w:r>
      <w:r w:rsidRPr="002C0C57">
        <w:rPr>
          <w:rFonts w:ascii="Cambria Math" w:hAnsi="Cambria Math" w:cs="Times New Roman"/>
        </w:rPr>
        <w:t>​</w:t>
      </w:r>
      <w:r w:rsidRPr="002C0C57">
        <w:rPr>
          <w:rFonts w:cs="Times New Roman"/>
        </w:rPr>
        <w:t xml:space="preserve"> holdings in Jerusalem, </w:t>
      </w:r>
      <w:r>
        <w:rPr>
          <w:rFonts w:cs="Times New Roman"/>
        </w:rPr>
        <w:t>Bethlehem</w:t>
      </w:r>
      <w:r w:rsidRPr="002C0C57">
        <w:rPr>
          <w:rFonts w:cs="Times New Roman"/>
        </w:rPr>
        <w:t xml:space="preserve">, North Gaza, </w:t>
      </w:r>
      <w:r>
        <w:rPr>
          <w:rFonts w:cs="Times New Roman"/>
        </w:rPr>
        <w:t>Gaza</w:t>
      </w:r>
      <w:r w:rsidRPr="002C0C57">
        <w:rPr>
          <w:rFonts w:cs="Times New Roman"/>
        </w:rPr>
        <w:t>, Ramallah and Al-Bireh, Salfit, Rafah and Deir Al-Balah is below the of average on national level. The results also found that, in addition to Jericho and Al-</w:t>
      </w:r>
      <w:proofErr w:type="spellStart"/>
      <w:r w:rsidRPr="002C0C57">
        <w:rPr>
          <w:rFonts w:cs="Times New Roman"/>
        </w:rPr>
        <w:t>Agwar</w:t>
      </w:r>
      <w:proofErr w:type="spellEnd"/>
      <w:r w:rsidRPr="002C0C57">
        <w:rPr>
          <w:rFonts w:cs="Times New Roman"/>
        </w:rPr>
        <w:t xml:space="preserve">, the average area of </w:t>
      </w:r>
      <w:r w:rsidRPr="002C0C57">
        <w:rPr>
          <w:rFonts w:ascii="Cambria Math" w:hAnsi="Cambria Math" w:cs="Times New Roman"/>
        </w:rPr>
        <w:t>​​</w:t>
      </w:r>
      <w:r w:rsidRPr="002C0C57">
        <w:rPr>
          <w:rFonts w:cs="Times New Roman"/>
        </w:rPr>
        <w:t xml:space="preserve">holdings in </w:t>
      </w:r>
      <w:r>
        <w:rPr>
          <w:rFonts w:cs="Times New Roman"/>
        </w:rPr>
        <w:t>Nablus</w:t>
      </w:r>
      <w:r w:rsidRPr="002C0C57">
        <w:rPr>
          <w:rFonts w:cs="Times New Roman"/>
        </w:rPr>
        <w:t xml:space="preserve">, </w:t>
      </w:r>
      <w:proofErr w:type="spellStart"/>
      <w:r w:rsidRPr="002C0C57">
        <w:rPr>
          <w:rFonts w:cs="Times New Roman"/>
        </w:rPr>
        <w:t>Qalqilya</w:t>
      </w:r>
      <w:proofErr w:type="spellEnd"/>
      <w:r w:rsidRPr="002C0C57">
        <w:rPr>
          <w:rFonts w:cs="Times New Roman"/>
        </w:rPr>
        <w:t>, Tulkarm, Jenin and Tubas is larger than the average on the national level.</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Second, standard deviation is higher than the arithmetic mean, where data indicate that the value of the standard deviation of the areas in the occupied Palestinian Territory as a whole is </w:t>
      </w:r>
      <w:r>
        <w:rPr>
          <w:rFonts w:cs="Times New Roman"/>
        </w:rPr>
        <w:t>36</w:t>
      </w:r>
      <w:r w:rsidRPr="002C0C57">
        <w:rPr>
          <w:rFonts w:cs="Times New Roman"/>
        </w:rPr>
        <w:t>.</w:t>
      </w:r>
      <w:r>
        <w:rPr>
          <w:rFonts w:cs="Times New Roman"/>
        </w:rPr>
        <w:t>42</w:t>
      </w:r>
      <w:r w:rsidRPr="002C0C57">
        <w:rPr>
          <w:rFonts w:cs="Times New Roman"/>
        </w:rPr>
        <w:t xml:space="preserve"> dunums- which is </w:t>
      </w:r>
      <w:r>
        <w:rPr>
          <w:rFonts w:cs="Times New Roman"/>
        </w:rPr>
        <w:t xml:space="preserve">almost </w:t>
      </w:r>
      <w:r w:rsidRPr="002C0C57">
        <w:rPr>
          <w:rFonts w:cs="Times New Roman"/>
        </w:rPr>
        <w:t>three times the arithmetic mean (</w:t>
      </w:r>
      <w:r>
        <w:rPr>
          <w:rFonts w:cs="Times New Roman"/>
        </w:rPr>
        <w:t>12</w:t>
      </w:r>
      <w:r w:rsidRPr="002C0C57">
        <w:rPr>
          <w:rFonts w:cs="Times New Roman"/>
        </w:rPr>
        <w:t xml:space="preserve">.4 dunums), which is, of course, a sign of fragmentation. On the other hand, there is an evident disparity between different regions. The results of the analysis reveal that the standard deviation in the Gaza Strip is </w:t>
      </w:r>
      <w:r>
        <w:rPr>
          <w:rFonts w:cs="Times New Roman"/>
        </w:rPr>
        <w:t>16</w:t>
      </w:r>
      <w:r w:rsidRPr="002C0C57">
        <w:rPr>
          <w:rFonts w:cs="Times New Roman"/>
        </w:rPr>
        <w:t>.</w:t>
      </w:r>
      <w:r>
        <w:rPr>
          <w:rFonts w:cs="Times New Roman"/>
        </w:rPr>
        <w:t>41</w:t>
      </w:r>
      <w:r w:rsidRPr="002C0C57">
        <w:rPr>
          <w:rFonts w:cs="Times New Roman"/>
        </w:rPr>
        <w:t xml:space="preserve"> dunums, which is the lowest among all regions. This value is quite double the arithmetic mean in the Strip (</w:t>
      </w:r>
      <w:r>
        <w:rPr>
          <w:rFonts w:cs="Times New Roman"/>
        </w:rPr>
        <w:t>5</w:t>
      </w:r>
      <w:r w:rsidRPr="002C0C57">
        <w:rPr>
          <w:rFonts w:cs="Times New Roman"/>
        </w:rPr>
        <w:t>.</w:t>
      </w:r>
      <w:r>
        <w:rPr>
          <w:rFonts w:cs="Times New Roman"/>
        </w:rPr>
        <w:t>9</w:t>
      </w:r>
      <w:r w:rsidRPr="002C0C57">
        <w:rPr>
          <w:rFonts w:cs="Times New Roman"/>
        </w:rPr>
        <w:t xml:space="preserve"> dunums). In the Central West Bank, the standard deviation is </w:t>
      </w:r>
      <w:r>
        <w:rPr>
          <w:rFonts w:cs="Times New Roman"/>
        </w:rPr>
        <w:t>45</w:t>
      </w:r>
      <w:r w:rsidRPr="002C0C57">
        <w:rPr>
          <w:rFonts w:cs="Times New Roman"/>
        </w:rPr>
        <w:t>.</w:t>
      </w:r>
      <w:r>
        <w:rPr>
          <w:rFonts w:cs="Times New Roman"/>
        </w:rPr>
        <w:t>8</w:t>
      </w:r>
      <w:r w:rsidRPr="002C0C57">
        <w:rPr>
          <w:rFonts w:cs="Times New Roman"/>
        </w:rPr>
        <w:t xml:space="preserve"> dunums, i.e. more than </w:t>
      </w:r>
      <w:r>
        <w:rPr>
          <w:rFonts w:cs="Times New Roman"/>
        </w:rPr>
        <w:t>three</w:t>
      </w:r>
      <w:r w:rsidRPr="002C0C57">
        <w:rPr>
          <w:rFonts w:cs="Times New Roman"/>
        </w:rPr>
        <w:t xml:space="preserve"> times the value of the arithmetic mean (</w:t>
      </w:r>
      <w:r>
        <w:rPr>
          <w:rFonts w:cs="Times New Roman"/>
        </w:rPr>
        <w:t>13</w:t>
      </w:r>
      <w:r w:rsidRPr="002C0C57">
        <w:rPr>
          <w:rFonts w:cs="Times New Roman"/>
        </w:rPr>
        <w:t>.</w:t>
      </w:r>
      <w:r>
        <w:rPr>
          <w:rFonts w:cs="Times New Roman"/>
        </w:rPr>
        <w:t>6</w:t>
      </w:r>
      <w:r w:rsidRPr="002C0C57">
        <w:rPr>
          <w:rFonts w:cs="Times New Roman"/>
        </w:rPr>
        <w:t xml:space="preserve"> dunums). In the rest of the regions, these values significantly vary (particularly between the Central West Bank and the Gaza Strip). Whereas the standard deviation </w:t>
      </w:r>
      <w:r>
        <w:rPr>
          <w:rFonts w:cs="Times New Roman"/>
        </w:rPr>
        <w:t>of the area of holdings in the n</w:t>
      </w:r>
      <w:r w:rsidRPr="002C0C57">
        <w:rPr>
          <w:rFonts w:cs="Times New Roman"/>
        </w:rPr>
        <w:t>orthern West Bank is more than double the value of their arithmetic mean (</w:t>
      </w:r>
      <w:r>
        <w:rPr>
          <w:rFonts w:cs="Times New Roman"/>
        </w:rPr>
        <w:t>36</w:t>
      </w:r>
      <w:r w:rsidRPr="002C0C57">
        <w:rPr>
          <w:rFonts w:cs="Times New Roman"/>
        </w:rPr>
        <w:t>.</w:t>
      </w:r>
      <w:r>
        <w:rPr>
          <w:rFonts w:cs="Times New Roman"/>
        </w:rPr>
        <w:t>85</w:t>
      </w:r>
      <w:r w:rsidRPr="002C0C57">
        <w:rPr>
          <w:rFonts w:cs="Times New Roman"/>
        </w:rPr>
        <w:t xml:space="preserve"> compared to </w:t>
      </w:r>
      <w:r>
        <w:rPr>
          <w:rFonts w:cs="Times New Roman"/>
        </w:rPr>
        <w:t>15</w:t>
      </w:r>
      <w:r w:rsidRPr="002C0C57">
        <w:rPr>
          <w:rFonts w:cs="Times New Roman"/>
        </w:rPr>
        <w:t>.</w:t>
      </w:r>
      <w:r>
        <w:rPr>
          <w:rFonts w:cs="Times New Roman"/>
        </w:rPr>
        <w:t>1</w:t>
      </w:r>
      <w:r w:rsidRPr="002C0C57">
        <w:rPr>
          <w:rFonts w:cs="Times New Roman"/>
        </w:rPr>
        <w:t xml:space="preserve"> dunums),</w:t>
      </w:r>
      <w:r>
        <w:rPr>
          <w:rFonts w:cs="Times New Roman"/>
        </w:rPr>
        <w:t xml:space="preserve"> the standard deviation in the s</w:t>
      </w:r>
      <w:r w:rsidRPr="002C0C57">
        <w:rPr>
          <w:rFonts w:cs="Times New Roman"/>
        </w:rPr>
        <w:t>outhern West Bank is more than three and a half times the value of the arithmetic mean (</w:t>
      </w:r>
      <w:r>
        <w:rPr>
          <w:rFonts w:cs="Times New Roman"/>
        </w:rPr>
        <w:t>39</w:t>
      </w:r>
      <w:r w:rsidRPr="002C0C57">
        <w:rPr>
          <w:rFonts w:cs="Times New Roman"/>
        </w:rPr>
        <w:t>.</w:t>
      </w:r>
      <w:r>
        <w:rPr>
          <w:rFonts w:cs="Times New Roman"/>
        </w:rPr>
        <w:t>69</w:t>
      </w:r>
      <w:r w:rsidRPr="002C0C57">
        <w:rPr>
          <w:rFonts w:cs="Times New Roman"/>
        </w:rPr>
        <w:t xml:space="preserve"> compared to </w:t>
      </w:r>
      <w:r>
        <w:rPr>
          <w:rFonts w:cs="Times New Roman"/>
        </w:rPr>
        <w:t>11</w:t>
      </w:r>
      <w:r w:rsidRPr="002C0C57">
        <w:rPr>
          <w:rFonts w:cs="Times New Roman"/>
        </w:rPr>
        <w:t>.</w:t>
      </w:r>
      <w:r>
        <w:rPr>
          <w:rFonts w:cs="Times New Roman"/>
        </w:rPr>
        <w:t>3</w:t>
      </w:r>
      <w:r w:rsidRPr="002C0C57">
        <w:rPr>
          <w:rFonts w:cs="Times New Roman"/>
        </w:rPr>
        <w:t xml:space="preserve"> dunums). By governorate, the standard deviation values </w:t>
      </w:r>
      <w:r w:rsidRPr="002C0C57">
        <w:rPr>
          <w:rFonts w:ascii="Cambria Math" w:hAnsi="Cambria Math" w:cs="Times New Roman"/>
        </w:rPr>
        <w:t>​​</w:t>
      </w:r>
      <w:r w:rsidRPr="002C0C57">
        <w:rPr>
          <w:rFonts w:cs="Times New Roman"/>
        </w:rPr>
        <w:t xml:space="preserve">are relatively high, suggesting dispersion from the arithmetic mean. This, in turn, means that areas are fragmented and inequitably distributed within governorates. The results indicate that the lowest value of the standard deviation is found in Khan </w:t>
      </w:r>
      <w:proofErr w:type="spellStart"/>
      <w:r w:rsidRPr="002C0C57">
        <w:rPr>
          <w:rFonts w:cs="Times New Roman"/>
        </w:rPr>
        <w:t>Younis</w:t>
      </w:r>
      <w:proofErr w:type="spellEnd"/>
      <w:r w:rsidRPr="002C0C57">
        <w:rPr>
          <w:rFonts w:cs="Times New Roman"/>
        </w:rPr>
        <w:t xml:space="preserve"> (</w:t>
      </w:r>
      <w:r>
        <w:rPr>
          <w:rFonts w:cs="Times New Roman"/>
        </w:rPr>
        <w:t>8</w:t>
      </w:r>
      <w:r w:rsidRPr="002C0C57">
        <w:rPr>
          <w:rFonts w:cs="Times New Roman"/>
        </w:rPr>
        <w:t>.</w:t>
      </w:r>
      <w:r>
        <w:rPr>
          <w:rFonts w:cs="Times New Roman"/>
        </w:rPr>
        <w:t>53</w:t>
      </w:r>
      <w:r w:rsidRPr="002C0C57">
        <w:rPr>
          <w:rFonts w:cs="Times New Roman"/>
        </w:rPr>
        <w:t xml:space="preserve"> dunums), 1.</w:t>
      </w:r>
      <w:r>
        <w:rPr>
          <w:rFonts w:cs="Times New Roman"/>
        </w:rPr>
        <w:t>6</w:t>
      </w:r>
      <w:r w:rsidRPr="002C0C57">
        <w:rPr>
          <w:rFonts w:cs="Times New Roman"/>
        </w:rPr>
        <w:t xml:space="preserve"> times the value of the arithmetic mean- suggesting less fragmentation and more equitable distribution. By contrast, the highest value of standard deviation is found in Jericho and Al-</w:t>
      </w:r>
      <w:proofErr w:type="spellStart"/>
      <w:r w:rsidRPr="002C0C57">
        <w:rPr>
          <w:rFonts w:cs="Times New Roman"/>
        </w:rPr>
        <w:t>Agwar</w:t>
      </w:r>
      <w:proofErr w:type="spellEnd"/>
      <w:r w:rsidRPr="002C0C57">
        <w:rPr>
          <w:rFonts w:cs="Times New Roman"/>
        </w:rPr>
        <w:t xml:space="preserve"> (</w:t>
      </w:r>
      <w:r>
        <w:rPr>
          <w:rFonts w:cs="Times New Roman"/>
        </w:rPr>
        <w:t>152</w:t>
      </w:r>
      <w:r w:rsidRPr="002C0C57">
        <w:rPr>
          <w:rFonts w:cs="Times New Roman"/>
        </w:rPr>
        <w:t>.</w:t>
      </w:r>
      <w:r>
        <w:rPr>
          <w:rFonts w:cs="Times New Roman"/>
        </w:rPr>
        <w:t>44</w:t>
      </w:r>
      <w:r w:rsidRPr="002C0C57">
        <w:rPr>
          <w:rFonts w:cs="Times New Roman"/>
        </w:rPr>
        <w:t xml:space="preserve"> dunums), </w:t>
      </w:r>
      <w:r>
        <w:rPr>
          <w:rFonts w:cs="Times New Roman"/>
        </w:rPr>
        <w:t xml:space="preserve">more than three </w:t>
      </w:r>
      <w:r w:rsidRPr="002C0C57">
        <w:rPr>
          <w:rFonts w:cs="Times New Roman"/>
        </w:rPr>
        <w:t xml:space="preserve">times the value of the arithmetic mean- suggesting more fragmentation and less equitable distribution of holdings. The situation in other governorates is somewhere within these two extremes, Khan </w:t>
      </w:r>
      <w:proofErr w:type="spellStart"/>
      <w:r w:rsidRPr="002C0C57">
        <w:rPr>
          <w:rFonts w:cs="Times New Roman"/>
        </w:rPr>
        <w:t>Younis</w:t>
      </w:r>
      <w:proofErr w:type="spellEnd"/>
      <w:r w:rsidRPr="002C0C57">
        <w:rPr>
          <w:rFonts w:cs="Times New Roman"/>
        </w:rPr>
        <w:t xml:space="preserve"> and Jericho.</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Third, the number of small-size agricultural holdings is large, while the total area of these holdings is relatively small. On the other hand, the number of large-size agricultural holdings is small, while the total area of them is large. Particularly, </w:t>
      </w:r>
      <w:r>
        <w:rPr>
          <w:rFonts w:cs="Times New Roman"/>
        </w:rPr>
        <w:t>34</w:t>
      </w:r>
      <w:r w:rsidRPr="002C0C57">
        <w:rPr>
          <w:rFonts w:cs="Times New Roman"/>
        </w:rPr>
        <w:t xml:space="preserve">% of the small-size holdings, smaller than </w:t>
      </w:r>
      <w:r>
        <w:rPr>
          <w:rFonts w:cs="Times New Roman"/>
        </w:rPr>
        <w:t>three</w:t>
      </w:r>
      <w:r w:rsidRPr="002C0C57">
        <w:rPr>
          <w:rFonts w:cs="Times New Roman"/>
        </w:rPr>
        <w:t xml:space="preserve"> dunums, have total area of barely </w:t>
      </w:r>
      <w:r>
        <w:rPr>
          <w:rFonts w:cs="Times New Roman"/>
        </w:rPr>
        <w:t>4.4</w:t>
      </w:r>
      <w:r w:rsidRPr="002C0C57">
        <w:rPr>
          <w:rFonts w:cs="Times New Roman"/>
        </w:rPr>
        <w:t xml:space="preserve">% of the total area of </w:t>
      </w:r>
      <w:r w:rsidRPr="002C0C57">
        <w:rPr>
          <w:rFonts w:ascii="Cambria Math" w:hAnsi="Cambria Math" w:cs="Times New Roman"/>
        </w:rPr>
        <w:t>​​</w:t>
      </w:r>
      <w:r w:rsidRPr="002C0C57">
        <w:rPr>
          <w:rFonts w:cs="Times New Roman"/>
        </w:rPr>
        <w:t xml:space="preserve">the holdings. In contrast, </w:t>
      </w:r>
      <w:r>
        <w:rPr>
          <w:rFonts w:cs="Times New Roman"/>
        </w:rPr>
        <w:t>14</w:t>
      </w:r>
      <w:r w:rsidRPr="002C0C57">
        <w:rPr>
          <w:rFonts w:cs="Times New Roman"/>
        </w:rPr>
        <w:t xml:space="preserve">% of the large-size holdings, </w:t>
      </w:r>
      <w:r>
        <w:rPr>
          <w:rFonts w:cs="Times New Roman"/>
        </w:rPr>
        <w:t>twenty</w:t>
      </w:r>
      <w:r w:rsidRPr="002C0C57">
        <w:rPr>
          <w:rFonts w:cs="Times New Roman"/>
        </w:rPr>
        <w:t xml:space="preserve"> dunums or more, have total area of </w:t>
      </w:r>
      <w:r>
        <w:rPr>
          <w:rFonts w:cs="Times New Roman"/>
        </w:rPr>
        <w:t>64</w:t>
      </w:r>
      <w:r w:rsidRPr="002C0C57">
        <w:rPr>
          <w:rFonts w:cs="Times New Roman"/>
        </w:rPr>
        <w:t xml:space="preserve">% of the total area of </w:t>
      </w:r>
      <w:r w:rsidRPr="002C0C57">
        <w:rPr>
          <w:rFonts w:ascii="Cambria Math" w:hAnsi="Cambria Math" w:cs="Times New Roman"/>
        </w:rPr>
        <w:t>​​</w:t>
      </w:r>
      <w:r w:rsidRPr="002C0C57">
        <w:rPr>
          <w:rFonts w:cs="Times New Roman"/>
        </w:rPr>
        <w:t>the holdings.</w:t>
      </w:r>
    </w:p>
    <w:p w:rsidR="00DC4ED5" w:rsidRPr="002C0C57" w:rsidRDefault="00DC4ED5" w:rsidP="00DC4ED5">
      <w:pPr>
        <w:bidi w:val="0"/>
        <w:jc w:val="both"/>
        <w:rPr>
          <w:rFonts w:cs="Times New Roman"/>
        </w:rPr>
      </w:pPr>
      <w:r w:rsidRPr="002C0C57">
        <w:rPr>
          <w:rFonts w:cs="Times New Roman"/>
        </w:rPr>
        <w:t xml:space="preserve"> </w:t>
      </w:r>
    </w:p>
    <w:p w:rsidR="00DC4ED5" w:rsidRPr="002C0C57" w:rsidRDefault="00DC4ED5" w:rsidP="00DC4ED5">
      <w:pPr>
        <w:bidi w:val="0"/>
        <w:jc w:val="both"/>
        <w:rPr>
          <w:rFonts w:cs="Times New Roman"/>
        </w:rPr>
      </w:pPr>
      <w:r w:rsidRPr="002C0C57">
        <w:rPr>
          <w:rFonts w:cs="Times New Roman"/>
        </w:rPr>
        <w:t xml:space="preserve">Fourth, </w:t>
      </w:r>
      <w:r w:rsidRPr="002C0C57">
        <w:rPr>
          <w:rStyle w:val="Emphasis"/>
          <w:rFonts w:cs="Times New Roman"/>
        </w:rPr>
        <w:t>the curvature of the Lorenz curve</w:t>
      </w:r>
      <w:r w:rsidRPr="002C0C57">
        <w:rPr>
          <w:rStyle w:val="st"/>
          <w:rFonts w:cs="Times New Roman"/>
        </w:rPr>
        <w:t xml:space="preserve"> suggests inequality</w:t>
      </w:r>
      <w:r w:rsidRPr="002C0C57">
        <w:rPr>
          <w:rFonts w:cs="Times New Roman"/>
        </w:rPr>
        <w:t xml:space="preserve"> in distribution. This applies to the area of </w:t>
      </w:r>
      <w:r w:rsidRPr="002C0C57">
        <w:rPr>
          <w:rFonts w:ascii="Cambria Math" w:hAnsi="Cambria Math" w:cs="Times New Roman"/>
        </w:rPr>
        <w:t>​​</w:t>
      </w:r>
      <w:r w:rsidRPr="002C0C57">
        <w:rPr>
          <w:rFonts w:cs="Times New Roman"/>
        </w:rPr>
        <w:t xml:space="preserve">holdings in the occupied Palestinian Territory as a whole as well as to different regions (north, center and south), but with a relative disparity between regions. This inequality also appears in each governorate, with a conspicuous disparity between various governorates.  </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proofErr w:type="spellStart"/>
      <w:r w:rsidRPr="002C0C57">
        <w:rPr>
          <w:rFonts w:cs="Times New Roman"/>
        </w:rPr>
        <w:t>Fithth</w:t>
      </w:r>
      <w:proofErr w:type="spellEnd"/>
      <w:r w:rsidRPr="002C0C57">
        <w:rPr>
          <w:rFonts w:cs="Times New Roman"/>
        </w:rPr>
        <w:t>, the Gini coefficient for holdings is overall relatively high in the occupied Palestinian Territory; it does however, show a clear difference between the regions and governorates. Specifically, the results show that the value of the Gini coefficient at the national level is 0.</w:t>
      </w:r>
      <w:r>
        <w:rPr>
          <w:rFonts w:cs="Times New Roman"/>
        </w:rPr>
        <w:t>60</w:t>
      </w:r>
      <w:r w:rsidRPr="002C0C57">
        <w:rPr>
          <w:rFonts w:cs="Times New Roman"/>
        </w:rPr>
        <w:t>, which is an indication of a relative inequality in the distribution of plant and mixed holdings overall in the occupied Palestinian territory. The results also show that the value of this coefficient in the West Bank is 0.</w:t>
      </w:r>
      <w:r>
        <w:rPr>
          <w:rFonts w:cs="Times New Roman"/>
        </w:rPr>
        <w:t>60</w:t>
      </w:r>
      <w:r w:rsidRPr="002C0C57">
        <w:rPr>
          <w:rFonts w:cs="Times New Roman"/>
        </w:rPr>
        <w:t xml:space="preserve"> versus 0.</w:t>
      </w:r>
      <w:r>
        <w:rPr>
          <w:rFonts w:cs="Times New Roman"/>
        </w:rPr>
        <w:t>53</w:t>
      </w:r>
      <w:r w:rsidRPr="002C0C57">
        <w:rPr>
          <w:rFonts w:cs="Times New Roman"/>
        </w:rPr>
        <w:t xml:space="preserve"> in Gaza Strip. This is due to the relative inequality in the distribution of holdings in the two regions; however the inequality in the Gaza Strip itself is less than that in the West Bank. In the three regions of the West Bank, the results show that the value of the Gini coefficient in the north is 0.</w:t>
      </w:r>
      <w:r>
        <w:rPr>
          <w:rFonts w:cs="Times New Roman"/>
        </w:rPr>
        <w:t>59</w:t>
      </w:r>
      <w:r w:rsidRPr="002C0C57">
        <w:rPr>
          <w:rFonts w:cs="Times New Roman"/>
        </w:rPr>
        <w:t>, while it is 0.60 in the center and</w:t>
      </w:r>
      <w:r>
        <w:rPr>
          <w:rFonts w:cs="Times New Roman"/>
        </w:rPr>
        <w:t xml:space="preserve"> 0.62 in the</w:t>
      </w:r>
      <w:r w:rsidRPr="002C0C57">
        <w:rPr>
          <w:rFonts w:cs="Times New Roman"/>
        </w:rPr>
        <w:t xml:space="preserve"> south. This accentuates the relative inequality in the distribution of holdings in the center and south of the West Bank which is incidentally also the worst overall in the Palestinian Territory.</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At the governorate level, the value of the Gini coefficient ranges from 0.</w:t>
      </w:r>
      <w:r>
        <w:rPr>
          <w:rFonts w:cs="Times New Roman"/>
        </w:rPr>
        <w:t>49</w:t>
      </w:r>
      <w:r w:rsidRPr="002C0C57">
        <w:rPr>
          <w:rFonts w:cs="Times New Roman"/>
        </w:rPr>
        <w:t xml:space="preserve"> in Khan </w:t>
      </w:r>
      <w:proofErr w:type="spellStart"/>
      <w:r w:rsidRPr="002C0C57">
        <w:rPr>
          <w:rFonts w:cs="Times New Roman"/>
        </w:rPr>
        <w:t>Younis</w:t>
      </w:r>
      <w:proofErr w:type="spellEnd"/>
      <w:r w:rsidRPr="002C0C57">
        <w:rPr>
          <w:rFonts w:cs="Times New Roman"/>
        </w:rPr>
        <w:t>, up to 0.</w:t>
      </w:r>
      <w:r>
        <w:rPr>
          <w:rFonts w:cs="Times New Roman"/>
        </w:rPr>
        <w:t>66</w:t>
      </w:r>
      <w:r w:rsidRPr="002C0C57">
        <w:rPr>
          <w:rFonts w:cs="Times New Roman"/>
        </w:rPr>
        <w:t xml:space="preserve"> in the Jericho and Al-</w:t>
      </w:r>
      <w:proofErr w:type="spellStart"/>
      <w:r w:rsidRPr="002C0C57">
        <w:rPr>
          <w:rFonts w:cs="Times New Roman"/>
        </w:rPr>
        <w:t>Agwar</w:t>
      </w:r>
      <w:proofErr w:type="spellEnd"/>
      <w:r w:rsidRPr="002C0C57">
        <w:rPr>
          <w:rFonts w:cs="Times New Roman"/>
        </w:rPr>
        <w:t xml:space="preserve"> governorate. These values demonstrate that Khan </w:t>
      </w:r>
      <w:proofErr w:type="spellStart"/>
      <w:r w:rsidRPr="002C0C57">
        <w:rPr>
          <w:rFonts w:cs="Times New Roman"/>
        </w:rPr>
        <w:t>Younis</w:t>
      </w:r>
      <w:proofErr w:type="spellEnd"/>
      <w:r w:rsidRPr="002C0C57">
        <w:rPr>
          <w:rFonts w:cs="Times New Roman"/>
        </w:rPr>
        <w:t xml:space="preserve"> is suffering the least from inequality in the distribution of holdings, while Jericho and Al-</w:t>
      </w:r>
      <w:proofErr w:type="spellStart"/>
      <w:r w:rsidRPr="002C0C57">
        <w:rPr>
          <w:rFonts w:cs="Times New Roman"/>
        </w:rPr>
        <w:t>Agwar</w:t>
      </w:r>
      <w:proofErr w:type="spellEnd"/>
      <w:r w:rsidRPr="002C0C57">
        <w:rPr>
          <w:rFonts w:cs="Times New Roman"/>
        </w:rPr>
        <w:t xml:space="preserve"> suffer the most from this phenomenon. The results show that most of the Gaza Strip governorates have a low Gini coefficient relative to those in the West Bank. It is noted that the Gini coefficient in </w:t>
      </w:r>
      <w:r>
        <w:rPr>
          <w:rFonts w:cs="Times New Roman"/>
        </w:rPr>
        <w:t xml:space="preserve">all </w:t>
      </w:r>
      <w:r w:rsidRPr="002C0C57">
        <w:rPr>
          <w:rFonts w:cs="Times New Roman"/>
        </w:rPr>
        <w:t>of the governorates of the Gaza Strip is less than its value at the national level (0.</w:t>
      </w:r>
      <w:r>
        <w:rPr>
          <w:rFonts w:cs="Times New Roman"/>
        </w:rPr>
        <w:t>60</w:t>
      </w:r>
      <w:r w:rsidRPr="002C0C57">
        <w:rPr>
          <w:rFonts w:cs="Times New Roman"/>
        </w:rPr>
        <w:t>). The value of the Gini coefficient in those governorates is as follows: North Gaza (0.</w:t>
      </w:r>
      <w:r>
        <w:rPr>
          <w:rFonts w:cs="Times New Roman"/>
        </w:rPr>
        <w:t>53</w:t>
      </w:r>
      <w:r w:rsidRPr="002C0C57">
        <w:rPr>
          <w:rFonts w:cs="Times New Roman"/>
        </w:rPr>
        <w:t>), Rafah (0.</w:t>
      </w:r>
      <w:r>
        <w:rPr>
          <w:rFonts w:cs="Times New Roman"/>
        </w:rPr>
        <w:t>53</w:t>
      </w:r>
      <w:r w:rsidRPr="002C0C57">
        <w:rPr>
          <w:rFonts w:cs="Times New Roman"/>
        </w:rPr>
        <w:t>), Deir Al-Balah (0.</w:t>
      </w:r>
      <w:r>
        <w:rPr>
          <w:rFonts w:cs="Times New Roman"/>
        </w:rPr>
        <w:t>56</w:t>
      </w:r>
      <w:r w:rsidRPr="002C0C57">
        <w:rPr>
          <w:rFonts w:cs="Times New Roman"/>
        </w:rPr>
        <w:t>), and Gaza governorate (0.</w:t>
      </w:r>
      <w:r>
        <w:rPr>
          <w:rFonts w:cs="Times New Roman"/>
        </w:rPr>
        <w:t>58</w:t>
      </w:r>
      <w:r w:rsidRPr="002C0C57">
        <w:rPr>
          <w:rFonts w:cs="Times New Roman"/>
        </w:rPr>
        <w:t>).</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In the West Bank, the Gini coefficient value varies strongly between governorates, where some fall below the national level and the West Bank level of (0.</w:t>
      </w:r>
      <w:r>
        <w:rPr>
          <w:rFonts w:cs="Times New Roman"/>
        </w:rPr>
        <w:t>60</w:t>
      </w:r>
      <w:r w:rsidRPr="002C0C57">
        <w:rPr>
          <w:rFonts w:cs="Times New Roman"/>
        </w:rPr>
        <w:t>). These governorates are: Jerusalem (0.</w:t>
      </w:r>
      <w:r>
        <w:rPr>
          <w:rFonts w:cs="Times New Roman"/>
        </w:rPr>
        <w:t>57</w:t>
      </w:r>
      <w:r w:rsidRPr="002C0C57">
        <w:rPr>
          <w:rFonts w:cs="Times New Roman"/>
        </w:rPr>
        <w:t xml:space="preserve">), Jenin, Tulkarm, </w:t>
      </w:r>
      <w:r>
        <w:rPr>
          <w:rFonts w:cs="Times New Roman"/>
        </w:rPr>
        <w:t xml:space="preserve">Bethlehem </w:t>
      </w:r>
      <w:r w:rsidRPr="002C0C57">
        <w:rPr>
          <w:rFonts w:cs="Times New Roman"/>
        </w:rPr>
        <w:t>(0.</w:t>
      </w:r>
      <w:r>
        <w:rPr>
          <w:rFonts w:cs="Times New Roman"/>
        </w:rPr>
        <w:t>58</w:t>
      </w:r>
      <w:r w:rsidRPr="002C0C57">
        <w:rPr>
          <w:rFonts w:cs="Times New Roman"/>
        </w:rPr>
        <w:t xml:space="preserve"> in each of them), </w:t>
      </w:r>
      <w:r>
        <w:rPr>
          <w:rFonts w:cs="Times New Roman"/>
        </w:rPr>
        <w:t>Salfit</w:t>
      </w:r>
      <w:r w:rsidRPr="002C0C57">
        <w:rPr>
          <w:rFonts w:cs="Times New Roman"/>
        </w:rPr>
        <w:t xml:space="preserve"> (0.55), </w:t>
      </w:r>
      <w:proofErr w:type="spellStart"/>
      <w:r w:rsidRPr="002C0C57">
        <w:rPr>
          <w:rFonts w:cs="Times New Roman"/>
        </w:rPr>
        <w:t>Qalqilya</w:t>
      </w:r>
      <w:proofErr w:type="spellEnd"/>
      <w:r>
        <w:rPr>
          <w:rFonts w:cs="Times New Roman"/>
        </w:rPr>
        <w:t>, Nablus</w:t>
      </w:r>
      <w:r w:rsidRPr="002C0C57">
        <w:rPr>
          <w:rFonts w:cs="Times New Roman"/>
        </w:rPr>
        <w:t xml:space="preserve"> (0.</w:t>
      </w:r>
      <w:r>
        <w:rPr>
          <w:rFonts w:cs="Times New Roman"/>
        </w:rPr>
        <w:t>59 in each of them</w:t>
      </w:r>
      <w:r w:rsidRPr="002C0C57">
        <w:rPr>
          <w:rFonts w:cs="Times New Roman"/>
        </w:rPr>
        <w:t>)</w:t>
      </w:r>
      <w:r>
        <w:rPr>
          <w:rFonts w:cs="Times New Roman"/>
        </w:rPr>
        <w:t>, and</w:t>
      </w:r>
      <w:r w:rsidRPr="002C0C57">
        <w:rPr>
          <w:rFonts w:cs="Times New Roman"/>
        </w:rPr>
        <w:t xml:space="preserve"> Ramallah and Al-Bireh</w:t>
      </w:r>
      <w:r>
        <w:rPr>
          <w:rFonts w:cs="Times New Roman"/>
        </w:rPr>
        <w:t xml:space="preserve"> </w:t>
      </w:r>
      <w:proofErr w:type="spellStart"/>
      <w:r>
        <w:rPr>
          <w:rFonts w:cs="Times New Roman"/>
        </w:rPr>
        <w:t>govrnorate</w:t>
      </w:r>
      <w:proofErr w:type="spellEnd"/>
      <w:r>
        <w:rPr>
          <w:rFonts w:cs="Times New Roman"/>
        </w:rPr>
        <w:t xml:space="preserve"> (0.56)</w:t>
      </w:r>
      <w:r w:rsidRPr="002C0C57">
        <w:rPr>
          <w:rFonts w:cs="Times New Roman"/>
        </w:rPr>
        <w:t>. This demonstrates that these governorates suffer from relative inequality in the distribution of holdings, but to a lesser extent than that of the national or the West Bank levels. In the rest of the West Bank governorates, the Gini coefficient value exceeds the national benchmark which is an indication that these governorates are suffering more inequality than other governorates. In addition to the Jericho and Al-</w:t>
      </w:r>
      <w:proofErr w:type="spellStart"/>
      <w:r w:rsidRPr="002C0C57">
        <w:rPr>
          <w:rFonts w:cs="Times New Roman"/>
        </w:rPr>
        <w:t>Agwar</w:t>
      </w:r>
      <w:proofErr w:type="spellEnd"/>
      <w:r w:rsidRPr="002C0C57">
        <w:rPr>
          <w:rFonts w:cs="Times New Roman"/>
        </w:rPr>
        <w:t xml:space="preserve"> governorate, where the value of the Gini coefficient is (0.</w:t>
      </w:r>
      <w:r>
        <w:rPr>
          <w:rFonts w:cs="Times New Roman"/>
        </w:rPr>
        <w:t>66</w:t>
      </w:r>
      <w:r w:rsidRPr="002C0C57">
        <w:rPr>
          <w:rFonts w:cs="Times New Roman"/>
        </w:rPr>
        <w:t>), the results show that the coefficient value in Hebron is 0.</w:t>
      </w:r>
      <w:r>
        <w:rPr>
          <w:rFonts w:cs="Times New Roman"/>
        </w:rPr>
        <w:t>63</w:t>
      </w:r>
      <w:r w:rsidRPr="002C0C57">
        <w:rPr>
          <w:rFonts w:cs="Times New Roman"/>
        </w:rPr>
        <w:t>, and 0.</w:t>
      </w:r>
      <w:r>
        <w:rPr>
          <w:rFonts w:cs="Times New Roman"/>
        </w:rPr>
        <w:t>64</w:t>
      </w:r>
      <w:r w:rsidRPr="002C0C57">
        <w:rPr>
          <w:rFonts w:cs="Times New Roman"/>
        </w:rPr>
        <w:t xml:space="preserve"> in Tubas.</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In order to correlate areas of holdings, on the one hand, and their productivity and production on the other, the study analyzed the relationship between different categories of holding areas and the use of modern agricultural technology. In this regard, a larger area category suggests </w:t>
      </w:r>
      <w:r w:rsidRPr="002C0C57">
        <w:rPr>
          <w:rFonts w:cs="Times New Roman"/>
        </w:rPr>
        <w:lastRenderedPageBreak/>
        <w:t>more intensive use of biotechnology, represented by the use of improved seeds, bulbs, tubers and seedlings. The positive relationship between the plot area and the extent of used technology also applies to the use of chemical and mechanical technology as well as integrated pest management. The results indicate that a larger area category is more intensive in the use of chemical fertilizers and chemical pesticides. In addition, a larger area category suggests a more intense use of mechanical technology, represented by the use of heavy agricultural machinery. In the same line, a larger area category suggests a more intensive use of integrated pest management results in. In the order of the most used type of technology, mechanical technology is used more intensively than chemical technology which is used more intensively than biotechnology and finally the least intensive use is the use of integrated pest management.</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Using biotechnology, chemical and integrated pest management leads to increase in yields, and hence an increase in agricultural production on the microeconomic level (agricultural holdings) and on the macroeconomic levels (the contribution of agriculture to GDP). The reason for using mechanical technology, on the other hand, is not linked to an increase of productivity and production, but facilitates agricultural operations, especially in countries that suffer from scarcity of human resources as labor force. This is the basis on which the study discusses the phenomenon of fragmentation of agricultural holdings and the inequality in their distribution. The aim of such a discussion is to enable the search for possible solutions and recommendations in order to consolidate and improve the equality in the distribution of holdings among the holders. Before suggesting recommendations, we must discuss the possible reasons behind this phenomenon. Unfortunately, the census does not include questions regarding the reasons for this situation; however, previous studies can help in this regard. For example, a study by the Ministry of Agriculture and Agrarian Reform in Syria found that the reasons for the fragmentation of holdings in Rural Damascus are social, economic, natural and legislative.</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The social factors represent 31% of the causes of fragmentation, with the inheritance system ranking first among these factors. Other social factors include distribution of lands among the children before their father’s death. The economic factors constitute 42% of the causes and the main reason for this is that farmers can gain a higher return on their land from selling it due to the increase in land prices. Another economic factor, which comes after the sale of agricultural land, is the high cost of production inputs. Hence farmers abandon part of their land to be able to maintain the rest of it. Moreover, working as a farmer outside the village is often given as reason to abandon farm land which is either sold in whole or in part. The natural factors constitute 15% of the causes, the major one being the condition of drought in the last ten years. Finally, the regulations factors constitute 12% of the causes, mainly the expansion of organizational charts which led to the acquisition of land and contributed to the fragmentation of agricultural holdings, being the main one.</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The results of another study by the Palestinian Economic Research Institute (MAS) indicate that land fragmentation in Palestine can be a result of three reasons, multiple heirs, the relative importance of the land under consideration and the small areas that are meant to be split. The study advocates that these factors are interrelated, especially when the intended land is small and of great importance in terms of location. Thus, it is a very valuable asset and if there is a large number of heirs, it will eventually lead to the fragmentation of the land.</w:t>
      </w:r>
    </w:p>
    <w:p w:rsidR="00DC4ED5" w:rsidRPr="002C0C57" w:rsidRDefault="00DC4ED5" w:rsidP="00DC4ED5">
      <w:pPr>
        <w:bidi w:val="0"/>
        <w:jc w:val="both"/>
        <w:rPr>
          <w:rFonts w:cs="Times New Roman"/>
        </w:rPr>
      </w:pPr>
      <w:r w:rsidRPr="002C0C57">
        <w:rPr>
          <w:rFonts w:cs="Times New Roman"/>
        </w:rPr>
        <w:t xml:space="preserve">In light of the above discussion, the study lists some recommendations and proposals to reduce the phenomenon of fragmentation and dispersion of areas of agricultural holdings. The principal recommendation is to consolidate individual small holdings into larger ones. In this </w:t>
      </w:r>
      <w:r w:rsidRPr="002C0C57">
        <w:rPr>
          <w:rFonts w:cs="Times New Roman"/>
        </w:rPr>
        <w:lastRenderedPageBreak/>
        <w:t>regard, the study recommends, based on the results that have been obtained, that; first, consolidate holdings of individual small area, where a family is the legal entity that administers the holding. However, areas of family holdings do not exceed 15% of the total areas. Secondly, consolidate holdings of individual small areas on the basis of agricultural associations (cooperatives), where the results indicate that cooperatives tend to use different types of modern agricultural technology more intensively than individual and family farming. Thirdly, consolidate holdings of individual small area on the basis of agricultural companies, as the results indicate that companies tend to use different types of modern agricultural technology more intensively than individual and family farming.</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Pr>
      </w:pPr>
      <w:r w:rsidRPr="002C0C57">
        <w:rPr>
          <w:rFonts w:cs="Times New Roman"/>
        </w:rPr>
        <w:t xml:space="preserve">The process of consolidating agricultural areas can be enforced by issuing the necessary legislation that could encourage the establishing of large agricultural farms, in the form of family, cooperative and company farms. The study suggests a package of such legislation, including; First, cancel the VAT on the purchases of agricultural inputs that are necessary for agricultural production. Secondly, abolish the income tax on farmers, even if they are in the form of agricultural companies. Thirdly, facilitate the exports of agricultural products, including the cancellation of all export fees on agricultural products. Fourthly, facilitate the import of supplies and components of modern agricultural technology, especially biological, chemical and integrated pest management. The study also encourages the establishing of legislation which sets a minimum size threshold on the registration of agricultural land areas. In this regard, the current </w:t>
      </w:r>
      <w:r>
        <w:rPr>
          <w:rFonts w:cs="Times New Roman"/>
        </w:rPr>
        <w:t>median</w:t>
      </w:r>
      <w:r w:rsidRPr="002C0C57">
        <w:rPr>
          <w:rFonts w:cs="Times New Roman"/>
        </w:rPr>
        <w:t xml:space="preserve"> size of holdings </w:t>
      </w:r>
      <w:r>
        <w:rPr>
          <w:rFonts w:cs="Times New Roman"/>
        </w:rPr>
        <w:t xml:space="preserve">in each region </w:t>
      </w:r>
      <w:r w:rsidRPr="002C0C57">
        <w:rPr>
          <w:rFonts w:cs="Times New Roman"/>
        </w:rPr>
        <w:t xml:space="preserve">is recommended. </w:t>
      </w:r>
      <w:r>
        <w:rPr>
          <w:rFonts w:cs="Times New Roman"/>
        </w:rPr>
        <w:t xml:space="preserve">The values of the median </w:t>
      </w:r>
      <w:proofErr w:type="spellStart"/>
      <w:r>
        <w:rPr>
          <w:rFonts w:cs="Times New Roman"/>
        </w:rPr>
        <w:t>are</w:t>
      </w:r>
      <w:proofErr w:type="spellEnd"/>
      <w:r>
        <w:rPr>
          <w:rFonts w:cs="Times New Roman"/>
        </w:rPr>
        <w:t xml:space="preserve">: 6 dunums in the north of the West Bank, 5 dunums in the center, 4 dunums in the south and 3 dunums in the Gaza Strip. </w:t>
      </w:r>
      <w:r w:rsidRPr="002C0C57">
        <w:rPr>
          <w:rFonts w:cs="Times New Roman"/>
        </w:rPr>
        <w:t>Special attention should be given to the following governorates in the consolidation process; Jericho and Al-</w:t>
      </w:r>
      <w:proofErr w:type="spellStart"/>
      <w:r w:rsidRPr="002C0C57">
        <w:rPr>
          <w:rFonts w:cs="Times New Roman"/>
        </w:rPr>
        <w:t>Agwar</w:t>
      </w:r>
      <w:proofErr w:type="spellEnd"/>
      <w:r w:rsidRPr="002C0C57">
        <w:rPr>
          <w:rFonts w:cs="Times New Roman"/>
        </w:rPr>
        <w:t xml:space="preserve">, Tubas and Hebron, where the smallest 40% of the holders in these governorates only possess </w:t>
      </w:r>
      <w:r>
        <w:rPr>
          <w:rFonts w:cs="Times New Roman"/>
        </w:rPr>
        <w:t>1</w:t>
      </w:r>
      <w:r w:rsidRPr="002C0C57">
        <w:rPr>
          <w:rFonts w:cs="Times New Roman"/>
        </w:rPr>
        <w:t xml:space="preserve">%, </w:t>
      </w:r>
      <w:r>
        <w:rPr>
          <w:rFonts w:cs="Times New Roman"/>
        </w:rPr>
        <w:t>1</w:t>
      </w:r>
      <w:r w:rsidRPr="002C0C57">
        <w:rPr>
          <w:rFonts w:cs="Times New Roman"/>
        </w:rPr>
        <w:t xml:space="preserve">% and </w:t>
      </w:r>
      <w:r>
        <w:rPr>
          <w:rFonts w:cs="Times New Roman"/>
        </w:rPr>
        <w:t>2</w:t>
      </w:r>
      <w:r w:rsidRPr="002C0C57">
        <w:rPr>
          <w:rFonts w:cs="Times New Roman"/>
        </w:rPr>
        <w:t>% of the area of holdings in each of them, respectively.</w:t>
      </w:r>
    </w:p>
    <w:p w:rsidR="00DC4ED5" w:rsidRPr="002C0C57" w:rsidRDefault="00DC4ED5" w:rsidP="00DC4ED5">
      <w:pPr>
        <w:bidi w:val="0"/>
        <w:jc w:val="both"/>
        <w:rPr>
          <w:rFonts w:cs="Times New Roman"/>
        </w:rPr>
      </w:pPr>
    </w:p>
    <w:p w:rsidR="00DC4ED5" w:rsidRPr="002C0C57" w:rsidRDefault="00DC4ED5" w:rsidP="00DC4ED5">
      <w:pPr>
        <w:bidi w:val="0"/>
        <w:jc w:val="both"/>
        <w:rPr>
          <w:rFonts w:cs="Times New Roman"/>
          <w:rtl/>
        </w:rPr>
      </w:pPr>
      <w:r w:rsidRPr="002C0C57">
        <w:rPr>
          <w:rFonts w:cs="Times New Roman"/>
        </w:rPr>
        <w:t>Regarding holdings of large areas which cause an inequality in the distribution of holdings, the study proposes the following; first, assist large holdings that are utilized fully and effectively, in order to encourage the private sector to engage in the agricultural sector. Secondly, the study calls to encourage holders of large holdings that are not effectively utilized to dispose of areas that constitute a burden on them either leasing or selling the unutilized areas to others who are willing to invest in the agricultural sector (individuals, families, associations, companies). Lastly, the study calls on the government to issue the necessary legislation and governing processes that promote the leasing and selling of unutilized tracts of holdings.</w:t>
      </w:r>
    </w:p>
    <w:p w:rsidR="00E332C2" w:rsidRPr="002C0C57" w:rsidRDefault="00E332C2" w:rsidP="00DC4ED5">
      <w:pPr>
        <w:bidi w:val="0"/>
        <w:jc w:val="both"/>
        <w:rPr>
          <w:rFonts w:cs="Times New Roman"/>
          <w:rtl/>
        </w:rPr>
      </w:pPr>
    </w:p>
    <w:sectPr w:rsidR="00E332C2" w:rsidRPr="002C0C57" w:rsidSect="002C0C57">
      <w:pgSz w:w="11906" w:h="16838" w:code="9"/>
      <w:pgMar w:top="1418" w:right="1418" w:bottom="1418" w:left="1418"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556B5"/>
    <w:multiLevelType w:val="hybridMultilevel"/>
    <w:tmpl w:val="3A0C39B8"/>
    <w:lvl w:ilvl="0" w:tplc="406276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C32AF7"/>
    <w:multiLevelType w:val="hybridMultilevel"/>
    <w:tmpl w:val="03B46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6D471A"/>
    <w:rsid w:val="00003E3D"/>
    <w:rsid w:val="00036D06"/>
    <w:rsid w:val="000D2340"/>
    <w:rsid w:val="000E7269"/>
    <w:rsid w:val="000F25C0"/>
    <w:rsid w:val="001129AA"/>
    <w:rsid w:val="00115C2B"/>
    <w:rsid w:val="00147ABA"/>
    <w:rsid w:val="001E1048"/>
    <w:rsid w:val="0022748A"/>
    <w:rsid w:val="00252343"/>
    <w:rsid w:val="00283DA2"/>
    <w:rsid w:val="002C0C57"/>
    <w:rsid w:val="002D0B06"/>
    <w:rsid w:val="002E5F5F"/>
    <w:rsid w:val="002F2944"/>
    <w:rsid w:val="00316909"/>
    <w:rsid w:val="003260D6"/>
    <w:rsid w:val="003470DE"/>
    <w:rsid w:val="00370F5D"/>
    <w:rsid w:val="003A7DA9"/>
    <w:rsid w:val="00445CCF"/>
    <w:rsid w:val="0044735A"/>
    <w:rsid w:val="004512B8"/>
    <w:rsid w:val="00460FFA"/>
    <w:rsid w:val="004748A2"/>
    <w:rsid w:val="005152CC"/>
    <w:rsid w:val="00520A94"/>
    <w:rsid w:val="00547785"/>
    <w:rsid w:val="005536EB"/>
    <w:rsid w:val="005F5BFD"/>
    <w:rsid w:val="00602198"/>
    <w:rsid w:val="00617364"/>
    <w:rsid w:val="00623992"/>
    <w:rsid w:val="00650D64"/>
    <w:rsid w:val="006C7650"/>
    <w:rsid w:val="006D471A"/>
    <w:rsid w:val="007B2985"/>
    <w:rsid w:val="007D1B3A"/>
    <w:rsid w:val="008B223D"/>
    <w:rsid w:val="008D31A1"/>
    <w:rsid w:val="008D3769"/>
    <w:rsid w:val="008D419F"/>
    <w:rsid w:val="0091530A"/>
    <w:rsid w:val="00955D9F"/>
    <w:rsid w:val="009624C5"/>
    <w:rsid w:val="00962D6E"/>
    <w:rsid w:val="009E53FD"/>
    <w:rsid w:val="009F0E8A"/>
    <w:rsid w:val="00A233B5"/>
    <w:rsid w:val="00A23A25"/>
    <w:rsid w:val="00A73BE1"/>
    <w:rsid w:val="00AC676E"/>
    <w:rsid w:val="00B11FD0"/>
    <w:rsid w:val="00B65289"/>
    <w:rsid w:val="00B8505D"/>
    <w:rsid w:val="00B85E2D"/>
    <w:rsid w:val="00BF4599"/>
    <w:rsid w:val="00C00029"/>
    <w:rsid w:val="00C40627"/>
    <w:rsid w:val="00C448FD"/>
    <w:rsid w:val="00C44F03"/>
    <w:rsid w:val="00C51574"/>
    <w:rsid w:val="00CA2876"/>
    <w:rsid w:val="00CA5B90"/>
    <w:rsid w:val="00D60DDA"/>
    <w:rsid w:val="00DC4ED5"/>
    <w:rsid w:val="00DF3396"/>
    <w:rsid w:val="00E15239"/>
    <w:rsid w:val="00E332C2"/>
    <w:rsid w:val="00E51C34"/>
    <w:rsid w:val="00E90077"/>
    <w:rsid w:val="00EA3B84"/>
    <w:rsid w:val="00EA55AC"/>
    <w:rsid w:val="00F1799B"/>
    <w:rsid w:val="00F32361"/>
    <w:rsid w:val="00F46F9D"/>
    <w:rsid w:val="00F6346D"/>
    <w:rsid w:val="00FB0A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71A"/>
    <w:pPr>
      <w:bidi/>
      <w:spacing w:after="0" w:line="240" w:lineRule="auto"/>
      <w:jc w:val="center"/>
    </w:pPr>
    <w:rPr>
      <w:rFonts w:ascii="Times New Roman" w:eastAsia="Times New Roman" w:hAnsi="Times New Roman" w:cs="Simplified Arabic"/>
      <w:sz w:val="24"/>
      <w:szCs w:val="20"/>
      <w:lang w:eastAsia="ar-SA"/>
    </w:rPr>
  </w:style>
  <w:style w:type="paragraph" w:styleId="Heading2">
    <w:name w:val="heading 2"/>
    <w:basedOn w:val="Normal"/>
    <w:next w:val="Normal"/>
    <w:link w:val="Heading2Char"/>
    <w:uiPriority w:val="9"/>
    <w:semiHidden/>
    <w:unhideWhenUsed/>
    <w:qFormat/>
    <w:rsid w:val="00955D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uiPriority w:val="9"/>
    <w:semiHidden/>
    <w:unhideWhenUsed/>
    <w:qFormat/>
    <w:rsid w:val="001E1048"/>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qFormat/>
    <w:rsid w:val="006D471A"/>
    <w:pPr>
      <w:keepNext/>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adia">
    <w:name w:val="shadia"/>
    <w:basedOn w:val="Normal"/>
    <w:autoRedefine/>
    <w:qFormat/>
    <w:rsid w:val="00316909"/>
    <w:pPr>
      <w:spacing w:before="100" w:beforeAutospacing="1" w:after="100" w:afterAutospacing="1"/>
      <w:jc w:val="both"/>
    </w:pPr>
    <w:rPr>
      <w:szCs w:val="24"/>
    </w:rPr>
  </w:style>
  <w:style w:type="character" w:customStyle="1" w:styleId="Heading9Char">
    <w:name w:val="Heading 9 Char"/>
    <w:basedOn w:val="DefaultParagraphFont"/>
    <w:link w:val="Heading9"/>
    <w:rsid w:val="006D471A"/>
    <w:rPr>
      <w:rFonts w:ascii="Times New Roman" w:eastAsia="Times New Roman" w:hAnsi="Times New Roman" w:cs="Simplified Arabic"/>
      <w:b/>
      <w:bCs/>
      <w:sz w:val="48"/>
      <w:szCs w:val="48"/>
      <w:lang w:eastAsia="ar-SA"/>
    </w:rPr>
  </w:style>
  <w:style w:type="paragraph" w:styleId="BodyText">
    <w:name w:val="Body Text"/>
    <w:basedOn w:val="Normal"/>
    <w:link w:val="BodyTextChar"/>
    <w:semiHidden/>
    <w:rsid w:val="006D471A"/>
    <w:pPr>
      <w:jc w:val="left"/>
    </w:pPr>
    <w:rPr>
      <w:szCs w:val="22"/>
    </w:rPr>
  </w:style>
  <w:style w:type="character" w:customStyle="1" w:styleId="BodyTextChar">
    <w:name w:val="Body Text Char"/>
    <w:basedOn w:val="DefaultParagraphFont"/>
    <w:link w:val="BodyText"/>
    <w:semiHidden/>
    <w:rsid w:val="006D471A"/>
    <w:rPr>
      <w:rFonts w:ascii="Times New Roman" w:eastAsia="Times New Roman" w:hAnsi="Times New Roman" w:cs="Simplified Arabic"/>
      <w:sz w:val="24"/>
      <w:lang w:eastAsia="ar-SA"/>
    </w:rPr>
  </w:style>
  <w:style w:type="paragraph" w:styleId="BodyText2">
    <w:name w:val="Body Text 2"/>
    <w:basedOn w:val="Normal"/>
    <w:link w:val="BodyText2Char"/>
    <w:semiHidden/>
    <w:rsid w:val="006D471A"/>
    <w:pPr>
      <w:jc w:val="lowKashida"/>
    </w:pPr>
  </w:style>
  <w:style w:type="character" w:customStyle="1" w:styleId="BodyText2Char">
    <w:name w:val="Body Text 2 Char"/>
    <w:basedOn w:val="DefaultParagraphFont"/>
    <w:link w:val="BodyText2"/>
    <w:semiHidden/>
    <w:rsid w:val="006D471A"/>
    <w:rPr>
      <w:rFonts w:ascii="Times New Roman" w:eastAsia="Times New Roman" w:hAnsi="Times New Roman" w:cs="Simplified Arabic"/>
      <w:sz w:val="24"/>
      <w:szCs w:val="20"/>
      <w:lang w:eastAsia="ar-SA"/>
    </w:rPr>
  </w:style>
  <w:style w:type="character" w:styleId="Hyperlink">
    <w:name w:val="Hyperlink"/>
    <w:basedOn w:val="DefaultParagraphFont"/>
    <w:semiHidden/>
    <w:rsid w:val="006D471A"/>
    <w:rPr>
      <w:color w:val="0000FF"/>
      <w:u w:val="single"/>
    </w:rPr>
  </w:style>
  <w:style w:type="paragraph" w:styleId="Title">
    <w:name w:val="Title"/>
    <w:basedOn w:val="Normal"/>
    <w:link w:val="TitleChar"/>
    <w:qFormat/>
    <w:rsid w:val="006D471A"/>
    <w:pPr>
      <w:autoSpaceDE w:val="0"/>
      <w:autoSpaceDN w:val="0"/>
    </w:pPr>
    <w:rPr>
      <w:rFonts w:cs="Times New Roman"/>
      <w:b/>
      <w:bCs/>
      <w:sz w:val="20"/>
      <w:szCs w:val="28"/>
      <w:lang w:eastAsia="en-US"/>
    </w:rPr>
  </w:style>
  <w:style w:type="character" w:customStyle="1" w:styleId="TitleChar">
    <w:name w:val="Title Char"/>
    <w:basedOn w:val="DefaultParagraphFont"/>
    <w:link w:val="Title"/>
    <w:rsid w:val="006D471A"/>
    <w:rPr>
      <w:rFonts w:ascii="Times New Roman" w:eastAsia="Times New Roman" w:hAnsi="Times New Roman" w:cs="Times New Roman"/>
      <w:b/>
      <w:bCs/>
      <w:sz w:val="20"/>
      <w:szCs w:val="28"/>
    </w:rPr>
  </w:style>
  <w:style w:type="paragraph" w:styleId="ListParagraph">
    <w:name w:val="List Paragraph"/>
    <w:basedOn w:val="Normal"/>
    <w:uiPriority w:val="34"/>
    <w:qFormat/>
    <w:rsid w:val="006D471A"/>
    <w:pPr>
      <w:spacing w:after="200" w:line="276" w:lineRule="auto"/>
      <w:ind w:left="720"/>
      <w:contextualSpacing/>
    </w:pPr>
    <w:rPr>
      <w:rFonts w:ascii="Calibri" w:eastAsia="Calibri" w:hAnsi="Calibri" w:cs="Arial"/>
      <w:sz w:val="22"/>
      <w:szCs w:val="22"/>
      <w:lang w:eastAsia="en-US"/>
    </w:rPr>
  </w:style>
  <w:style w:type="character" w:customStyle="1" w:styleId="longtext">
    <w:name w:val="long_text"/>
    <w:basedOn w:val="DefaultParagraphFont"/>
    <w:rsid w:val="006D471A"/>
  </w:style>
  <w:style w:type="character" w:customStyle="1" w:styleId="hps">
    <w:name w:val="hps"/>
    <w:basedOn w:val="DefaultParagraphFont"/>
    <w:rsid w:val="006D471A"/>
  </w:style>
  <w:style w:type="paragraph" w:styleId="BalloonText">
    <w:name w:val="Balloon Text"/>
    <w:basedOn w:val="Normal"/>
    <w:link w:val="BalloonTextChar"/>
    <w:uiPriority w:val="99"/>
    <w:semiHidden/>
    <w:unhideWhenUsed/>
    <w:rsid w:val="006D471A"/>
    <w:rPr>
      <w:rFonts w:ascii="Tahoma" w:hAnsi="Tahoma" w:cs="Tahoma"/>
      <w:sz w:val="16"/>
      <w:szCs w:val="16"/>
    </w:rPr>
  </w:style>
  <w:style w:type="character" w:customStyle="1" w:styleId="BalloonTextChar">
    <w:name w:val="Balloon Text Char"/>
    <w:basedOn w:val="DefaultParagraphFont"/>
    <w:link w:val="BalloonText"/>
    <w:uiPriority w:val="99"/>
    <w:semiHidden/>
    <w:rsid w:val="006D471A"/>
    <w:rPr>
      <w:rFonts w:ascii="Tahoma" w:eastAsia="Times New Roman" w:hAnsi="Tahoma" w:cs="Tahoma"/>
      <w:sz w:val="16"/>
      <w:szCs w:val="16"/>
      <w:lang w:eastAsia="ar-SA"/>
    </w:rPr>
  </w:style>
  <w:style w:type="character" w:customStyle="1" w:styleId="Heading8Char">
    <w:name w:val="Heading 8 Char"/>
    <w:basedOn w:val="DefaultParagraphFont"/>
    <w:link w:val="Heading8"/>
    <w:uiPriority w:val="9"/>
    <w:semiHidden/>
    <w:rsid w:val="001E1048"/>
    <w:rPr>
      <w:rFonts w:asciiTheme="majorHAnsi" w:eastAsiaTheme="majorEastAsia" w:hAnsiTheme="majorHAnsi" w:cstheme="majorBidi"/>
      <w:color w:val="404040" w:themeColor="text1" w:themeTint="BF"/>
      <w:sz w:val="20"/>
      <w:szCs w:val="20"/>
      <w:lang w:eastAsia="ar-SA"/>
    </w:rPr>
  </w:style>
  <w:style w:type="character" w:customStyle="1" w:styleId="Heading2Char">
    <w:name w:val="Heading 2 Char"/>
    <w:basedOn w:val="DefaultParagraphFont"/>
    <w:link w:val="Heading2"/>
    <w:uiPriority w:val="9"/>
    <w:semiHidden/>
    <w:rsid w:val="00955D9F"/>
    <w:rPr>
      <w:rFonts w:asciiTheme="majorHAnsi" w:eastAsiaTheme="majorEastAsia" w:hAnsiTheme="majorHAnsi" w:cstheme="majorBidi"/>
      <w:b/>
      <w:bCs/>
      <w:color w:val="4F81BD" w:themeColor="accent1"/>
      <w:sz w:val="26"/>
      <w:szCs w:val="26"/>
      <w:lang w:eastAsia="ar-SA"/>
    </w:rPr>
  </w:style>
  <w:style w:type="character" w:customStyle="1" w:styleId="st">
    <w:name w:val="st"/>
    <w:basedOn w:val="DefaultParagraphFont"/>
    <w:rsid w:val="008B223D"/>
  </w:style>
  <w:style w:type="character" w:styleId="Emphasis">
    <w:name w:val="Emphasis"/>
    <w:basedOn w:val="DefaultParagraphFont"/>
    <w:uiPriority w:val="20"/>
    <w:qFormat/>
    <w:rsid w:val="008B223D"/>
    <w:rPr>
      <w:i/>
      <w:iCs/>
    </w:rPr>
  </w:style>
</w:styles>
</file>

<file path=word/webSettings.xml><?xml version="1.0" encoding="utf-8"?>
<w:webSettings xmlns:r="http://schemas.openxmlformats.org/officeDocument/2006/relationships" xmlns:w="http://schemas.openxmlformats.org/wordprocessingml/2006/main">
  <w:divs>
    <w:div w:id="739132418">
      <w:bodyDiv w:val="1"/>
      <w:marLeft w:val="0"/>
      <w:marRight w:val="0"/>
      <w:marTop w:val="0"/>
      <w:marBottom w:val="0"/>
      <w:divBdr>
        <w:top w:val="none" w:sz="0" w:space="0" w:color="auto"/>
        <w:left w:val="none" w:sz="0" w:space="0" w:color="auto"/>
        <w:bottom w:val="none" w:sz="0" w:space="0" w:color="auto"/>
        <w:right w:val="none" w:sz="0" w:space="0" w:color="auto"/>
      </w:divBdr>
      <w:divsChild>
        <w:div w:id="867521753">
          <w:marLeft w:val="0"/>
          <w:marRight w:val="0"/>
          <w:marTop w:val="0"/>
          <w:marBottom w:val="0"/>
          <w:divBdr>
            <w:top w:val="none" w:sz="0" w:space="0" w:color="auto"/>
            <w:left w:val="none" w:sz="0" w:space="0" w:color="auto"/>
            <w:bottom w:val="none" w:sz="0" w:space="0" w:color="auto"/>
            <w:right w:val="none" w:sz="0" w:space="0" w:color="auto"/>
          </w:divBdr>
          <w:divsChild>
            <w:div w:id="1467698766">
              <w:marLeft w:val="0"/>
              <w:marRight w:val="0"/>
              <w:marTop w:val="0"/>
              <w:marBottom w:val="0"/>
              <w:divBdr>
                <w:top w:val="none" w:sz="0" w:space="0" w:color="auto"/>
                <w:left w:val="none" w:sz="0" w:space="0" w:color="auto"/>
                <w:bottom w:val="none" w:sz="0" w:space="0" w:color="auto"/>
                <w:right w:val="none" w:sz="0" w:space="0" w:color="auto"/>
              </w:divBdr>
              <w:divsChild>
                <w:div w:id="1752391726">
                  <w:marLeft w:val="0"/>
                  <w:marRight w:val="0"/>
                  <w:marTop w:val="0"/>
                  <w:marBottom w:val="0"/>
                  <w:divBdr>
                    <w:top w:val="none" w:sz="0" w:space="0" w:color="auto"/>
                    <w:left w:val="none" w:sz="0" w:space="0" w:color="auto"/>
                    <w:bottom w:val="none" w:sz="0" w:space="0" w:color="auto"/>
                    <w:right w:val="none" w:sz="0" w:space="0" w:color="auto"/>
                  </w:divBdr>
                  <w:divsChild>
                    <w:div w:id="843207845">
                      <w:marLeft w:val="0"/>
                      <w:marRight w:val="0"/>
                      <w:marTop w:val="0"/>
                      <w:marBottom w:val="0"/>
                      <w:divBdr>
                        <w:top w:val="none" w:sz="0" w:space="0" w:color="auto"/>
                        <w:left w:val="none" w:sz="0" w:space="0" w:color="auto"/>
                        <w:bottom w:val="none" w:sz="0" w:space="0" w:color="auto"/>
                        <w:right w:val="none" w:sz="0" w:space="0" w:color="auto"/>
                      </w:divBdr>
                      <w:divsChild>
                        <w:div w:id="267858739">
                          <w:marLeft w:val="-55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945712">
      <w:bodyDiv w:val="1"/>
      <w:marLeft w:val="0"/>
      <w:marRight w:val="0"/>
      <w:marTop w:val="0"/>
      <w:marBottom w:val="0"/>
      <w:divBdr>
        <w:top w:val="none" w:sz="0" w:space="0" w:color="auto"/>
        <w:left w:val="none" w:sz="0" w:space="0" w:color="auto"/>
        <w:bottom w:val="none" w:sz="0" w:space="0" w:color="auto"/>
        <w:right w:val="none" w:sz="0" w:space="0" w:color="auto"/>
      </w:divBdr>
    </w:div>
    <w:div w:id="1281062418">
      <w:bodyDiv w:val="1"/>
      <w:marLeft w:val="0"/>
      <w:marRight w:val="0"/>
      <w:marTop w:val="0"/>
      <w:marBottom w:val="0"/>
      <w:divBdr>
        <w:top w:val="none" w:sz="0" w:space="0" w:color="auto"/>
        <w:left w:val="none" w:sz="0" w:space="0" w:color="auto"/>
        <w:bottom w:val="none" w:sz="0" w:space="0" w:color="auto"/>
        <w:right w:val="none" w:sz="0" w:space="0" w:color="auto"/>
      </w:divBdr>
      <w:divsChild>
        <w:div w:id="1985232869">
          <w:marLeft w:val="0"/>
          <w:marRight w:val="0"/>
          <w:marTop w:val="0"/>
          <w:marBottom w:val="0"/>
          <w:divBdr>
            <w:top w:val="none" w:sz="0" w:space="0" w:color="auto"/>
            <w:left w:val="none" w:sz="0" w:space="0" w:color="auto"/>
            <w:bottom w:val="none" w:sz="0" w:space="0" w:color="auto"/>
            <w:right w:val="none" w:sz="0" w:space="0" w:color="auto"/>
          </w:divBdr>
          <w:divsChild>
            <w:div w:id="718016476">
              <w:marLeft w:val="0"/>
              <w:marRight w:val="0"/>
              <w:marTop w:val="0"/>
              <w:marBottom w:val="0"/>
              <w:divBdr>
                <w:top w:val="none" w:sz="0" w:space="0" w:color="auto"/>
                <w:left w:val="none" w:sz="0" w:space="0" w:color="auto"/>
                <w:bottom w:val="none" w:sz="0" w:space="0" w:color="auto"/>
                <w:right w:val="none" w:sz="0" w:space="0" w:color="auto"/>
              </w:divBdr>
              <w:divsChild>
                <w:div w:id="1141120183">
                  <w:marLeft w:val="0"/>
                  <w:marRight w:val="0"/>
                  <w:marTop w:val="0"/>
                  <w:marBottom w:val="0"/>
                  <w:divBdr>
                    <w:top w:val="none" w:sz="0" w:space="0" w:color="auto"/>
                    <w:left w:val="none" w:sz="0" w:space="0" w:color="auto"/>
                    <w:bottom w:val="none" w:sz="0" w:space="0" w:color="auto"/>
                    <w:right w:val="none" w:sz="0" w:space="0" w:color="auto"/>
                  </w:divBdr>
                  <w:divsChild>
                    <w:div w:id="1391222786">
                      <w:marLeft w:val="0"/>
                      <w:marRight w:val="0"/>
                      <w:marTop w:val="0"/>
                      <w:marBottom w:val="0"/>
                      <w:divBdr>
                        <w:top w:val="none" w:sz="0" w:space="0" w:color="auto"/>
                        <w:left w:val="none" w:sz="0" w:space="0" w:color="auto"/>
                        <w:bottom w:val="none" w:sz="0" w:space="0" w:color="auto"/>
                        <w:right w:val="none" w:sz="0" w:space="0" w:color="auto"/>
                      </w:divBdr>
                      <w:divsChild>
                        <w:div w:id="1587618497">
                          <w:marLeft w:val="0"/>
                          <w:marRight w:val="0"/>
                          <w:marTop w:val="0"/>
                          <w:marBottom w:val="0"/>
                          <w:divBdr>
                            <w:top w:val="none" w:sz="0" w:space="0" w:color="auto"/>
                            <w:left w:val="none" w:sz="0" w:space="0" w:color="auto"/>
                            <w:bottom w:val="none" w:sz="0" w:space="0" w:color="auto"/>
                            <w:right w:val="none" w:sz="0" w:space="0" w:color="auto"/>
                          </w:divBdr>
                          <w:divsChild>
                            <w:div w:id="1348825108">
                              <w:marLeft w:val="0"/>
                              <w:marRight w:val="0"/>
                              <w:marTop w:val="0"/>
                              <w:marBottom w:val="0"/>
                              <w:divBdr>
                                <w:top w:val="none" w:sz="0" w:space="0" w:color="auto"/>
                                <w:left w:val="none" w:sz="0" w:space="0" w:color="auto"/>
                                <w:bottom w:val="none" w:sz="0" w:space="0" w:color="auto"/>
                                <w:right w:val="none" w:sz="0" w:space="0" w:color="auto"/>
                              </w:divBdr>
                              <w:divsChild>
                                <w:div w:id="505557831">
                                  <w:marLeft w:val="0"/>
                                  <w:marRight w:val="0"/>
                                  <w:marTop w:val="0"/>
                                  <w:marBottom w:val="0"/>
                                  <w:divBdr>
                                    <w:top w:val="none" w:sz="0" w:space="0" w:color="auto"/>
                                    <w:left w:val="none" w:sz="0" w:space="0" w:color="auto"/>
                                    <w:bottom w:val="none" w:sz="0" w:space="0" w:color="auto"/>
                                    <w:right w:val="none" w:sz="0" w:space="0" w:color="auto"/>
                                  </w:divBdr>
                                  <w:divsChild>
                                    <w:div w:id="1338462728">
                                      <w:marLeft w:val="0"/>
                                      <w:marRight w:val="0"/>
                                      <w:marTop w:val="0"/>
                                      <w:marBottom w:val="0"/>
                                      <w:divBdr>
                                        <w:top w:val="single" w:sz="6" w:space="0" w:color="F5F5F5"/>
                                        <w:left w:val="single" w:sz="6" w:space="0" w:color="F5F5F5"/>
                                        <w:bottom w:val="single" w:sz="6" w:space="0" w:color="F5F5F5"/>
                                        <w:right w:val="single" w:sz="6" w:space="0" w:color="F5F5F5"/>
                                      </w:divBdr>
                                      <w:divsChild>
                                        <w:div w:id="237053780">
                                          <w:marLeft w:val="0"/>
                                          <w:marRight w:val="0"/>
                                          <w:marTop w:val="0"/>
                                          <w:marBottom w:val="0"/>
                                          <w:divBdr>
                                            <w:top w:val="none" w:sz="0" w:space="0" w:color="auto"/>
                                            <w:left w:val="none" w:sz="0" w:space="0" w:color="auto"/>
                                            <w:bottom w:val="none" w:sz="0" w:space="0" w:color="auto"/>
                                            <w:right w:val="none" w:sz="0" w:space="0" w:color="auto"/>
                                          </w:divBdr>
                                          <w:divsChild>
                                            <w:div w:id="16766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5199065">
      <w:bodyDiv w:val="1"/>
      <w:marLeft w:val="0"/>
      <w:marRight w:val="0"/>
      <w:marTop w:val="0"/>
      <w:marBottom w:val="0"/>
      <w:divBdr>
        <w:top w:val="none" w:sz="0" w:space="0" w:color="auto"/>
        <w:left w:val="none" w:sz="0" w:space="0" w:color="auto"/>
        <w:bottom w:val="none" w:sz="0" w:space="0" w:color="auto"/>
        <w:right w:val="none" w:sz="0" w:space="0" w:color="auto"/>
      </w:divBdr>
      <w:divsChild>
        <w:div w:id="363677900">
          <w:marLeft w:val="0"/>
          <w:marRight w:val="0"/>
          <w:marTop w:val="0"/>
          <w:marBottom w:val="0"/>
          <w:divBdr>
            <w:top w:val="none" w:sz="0" w:space="0" w:color="auto"/>
            <w:left w:val="none" w:sz="0" w:space="0" w:color="auto"/>
            <w:bottom w:val="none" w:sz="0" w:space="0" w:color="auto"/>
            <w:right w:val="none" w:sz="0" w:space="0" w:color="auto"/>
          </w:divBdr>
          <w:divsChild>
            <w:div w:id="973607234">
              <w:marLeft w:val="0"/>
              <w:marRight w:val="0"/>
              <w:marTop w:val="0"/>
              <w:marBottom w:val="0"/>
              <w:divBdr>
                <w:top w:val="none" w:sz="0" w:space="0" w:color="auto"/>
                <w:left w:val="none" w:sz="0" w:space="0" w:color="auto"/>
                <w:bottom w:val="none" w:sz="0" w:space="0" w:color="auto"/>
                <w:right w:val="none" w:sz="0" w:space="0" w:color="auto"/>
              </w:divBdr>
              <w:divsChild>
                <w:div w:id="129060097">
                  <w:marLeft w:val="0"/>
                  <w:marRight w:val="0"/>
                  <w:marTop w:val="0"/>
                  <w:marBottom w:val="0"/>
                  <w:divBdr>
                    <w:top w:val="none" w:sz="0" w:space="0" w:color="auto"/>
                    <w:left w:val="none" w:sz="0" w:space="0" w:color="auto"/>
                    <w:bottom w:val="none" w:sz="0" w:space="0" w:color="auto"/>
                    <w:right w:val="none" w:sz="0" w:space="0" w:color="auto"/>
                  </w:divBdr>
                  <w:divsChild>
                    <w:div w:id="1361661581">
                      <w:marLeft w:val="0"/>
                      <w:marRight w:val="0"/>
                      <w:marTop w:val="0"/>
                      <w:marBottom w:val="0"/>
                      <w:divBdr>
                        <w:top w:val="none" w:sz="0" w:space="0" w:color="auto"/>
                        <w:left w:val="none" w:sz="0" w:space="0" w:color="auto"/>
                        <w:bottom w:val="none" w:sz="0" w:space="0" w:color="auto"/>
                        <w:right w:val="none" w:sz="0" w:space="0" w:color="auto"/>
                      </w:divBdr>
                      <w:divsChild>
                        <w:div w:id="2043048837">
                          <w:marLeft w:val="0"/>
                          <w:marRight w:val="0"/>
                          <w:marTop w:val="0"/>
                          <w:marBottom w:val="0"/>
                          <w:divBdr>
                            <w:top w:val="none" w:sz="0" w:space="0" w:color="auto"/>
                            <w:left w:val="none" w:sz="0" w:space="0" w:color="auto"/>
                            <w:bottom w:val="none" w:sz="0" w:space="0" w:color="auto"/>
                            <w:right w:val="none" w:sz="0" w:space="0" w:color="auto"/>
                          </w:divBdr>
                          <w:divsChild>
                            <w:div w:id="1029985059">
                              <w:marLeft w:val="0"/>
                              <w:marRight w:val="0"/>
                              <w:marTop w:val="0"/>
                              <w:marBottom w:val="0"/>
                              <w:divBdr>
                                <w:top w:val="none" w:sz="0" w:space="0" w:color="auto"/>
                                <w:left w:val="none" w:sz="0" w:space="0" w:color="auto"/>
                                <w:bottom w:val="none" w:sz="0" w:space="0" w:color="auto"/>
                                <w:right w:val="none" w:sz="0" w:space="0" w:color="auto"/>
                              </w:divBdr>
                              <w:divsChild>
                                <w:div w:id="1670139084">
                                  <w:marLeft w:val="0"/>
                                  <w:marRight w:val="0"/>
                                  <w:marTop w:val="0"/>
                                  <w:marBottom w:val="0"/>
                                  <w:divBdr>
                                    <w:top w:val="none" w:sz="0" w:space="0" w:color="auto"/>
                                    <w:left w:val="none" w:sz="0" w:space="0" w:color="auto"/>
                                    <w:bottom w:val="none" w:sz="0" w:space="0" w:color="auto"/>
                                    <w:right w:val="none" w:sz="0" w:space="0" w:color="auto"/>
                                  </w:divBdr>
                                  <w:divsChild>
                                    <w:div w:id="886379314">
                                      <w:marLeft w:val="0"/>
                                      <w:marRight w:val="0"/>
                                      <w:marTop w:val="0"/>
                                      <w:marBottom w:val="0"/>
                                      <w:divBdr>
                                        <w:top w:val="single" w:sz="6" w:space="0" w:color="F5F5F5"/>
                                        <w:left w:val="single" w:sz="6" w:space="0" w:color="F5F5F5"/>
                                        <w:bottom w:val="single" w:sz="6" w:space="0" w:color="F5F5F5"/>
                                        <w:right w:val="single" w:sz="6" w:space="0" w:color="F5F5F5"/>
                                      </w:divBdr>
                                      <w:divsChild>
                                        <w:div w:id="558981932">
                                          <w:marLeft w:val="0"/>
                                          <w:marRight w:val="0"/>
                                          <w:marTop w:val="0"/>
                                          <w:marBottom w:val="0"/>
                                          <w:divBdr>
                                            <w:top w:val="none" w:sz="0" w:space="0" w:color="auto"/>
                                            <w:left w:val="none" w:sz="0" w:space="0" w:color="auto"/>
                                            <w:bottom w:val="none" w:sz="0" w:space="0" w:color="auto"/>
                                            <w:right w:val="none" w:sz="0" w:space="0" w:color="auto"/>
                                          </w:divBdr>
                                          <w:divsChild>
                                            <w:div w:id="26419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3691511">
      <w:bodyDiv w:val="1"/>
      <w:marLeft w:val="0"/>
      <w:marRight w:val="0"/>
      <w:marTop w:val="0"/>
      <w:marBottom w:val="0"/>
      <w:divBdr>
        <w:top w:val="none" w:sz="0" w:space="0" w:color="auto"/>
        <w:left w:val="none" w:sz="0" w:space="0" w:color="auto"/>
        <w:bottom w:val="none" w:sz="0" w:space="0" w:color="auto"/>
        <w:right w:val="none" w:sz="0" w:space="0" w:color="auto"/>
      </w:divBdr>
      <w:divsChild>
        <w:div w:id="2038725890">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794211362">
                  <w:marLeft w:val="0"/>
                  <w:marRight w:val="0"/>
                  <w:marTop w:val="0"/>
                  <w:marBottom w:val="0"/>
                  <w:divBdr>
                    <w:top w:val="none" w:sz="0" w:space="0" w:color="auto"/>
                    <w:left w:val="none" w:sz="0" w:space="0" w:color="auto"/>
                    <w:bottom w:val="none" w:sz="0" w:space="0" w:color="auto"/>
                    <w:right w:val="none" w:sz="0" w:space="0" w:color="auto"/>
                  </w:divBdr>
                  <w:divsChild>
                    <w:div w:id="1116827835">
                      <w:marLeft w:val="0"/>
                      <w:marRight w:val="0"/>
                      <w:marTop w:val="0"/>
                      <w:marBottom w:val="0"/>
                      <w:divBdr>
                        <w:top w:val="none" w:sz="0" w:space="0" w:color="auto"/>
                        <w:left w:val="none" w:sz="0" w:space="0" w:color="auto"/>
                        <w:bottom w:val="none" w:sz="0" w:space="0" w:color="auto"/>
                        <w:right w:val="none" w:sz="0" w:space="0" w:color="auto"/>
                      </w:divBdr>
                      <w:divsChild>
                        <w:div w:id="1321615570">
                          <w:marLeft w:val="0"/>
                          <w:marRight w:val="0"/>
                          <w:marTop w:val="0"/>
                          <w:marBottom w:val="0"/>
                          <w:divBdr>
                            <w:top w:val="none" w:sz="0" w:space="0" w:color="auto"/>
                            <w:left w:val="none" w:sz="0" w:space="0" w:color="auto"/>
                            <w:bottom w:val="none" w:sz="0" w:space="0" w:color="auto"/>
                            <w:right w:val="none" w:sz="0" w:space="0" w:color="auto"/>
                          </w:divBdr>
                          <w:divsChild>
                            <w:div w:id="248543933">
                              <w:marLeft w:val="0"/>
                              <w:marRight w:val="0"/>
                              <w:marTop w:val="0"/>
                              <w:marBottom w:val="0"/>
                              <w:divBdr>
                                <w:top w:val="none" w:sz="0" w:space="0" w:color="auto"/>
                                <w:left w:val="none" w:sz="0" w:space="0" w:color="auto"/>
                                <w:bottom w:val="none" w:sz="0" w:space="0" w:color="auto"/>
                                <w:right w:val="none" w:sz="0" w:space="0" w:color="auto"/>
                              </w:divBdr>
                              <w:divsChild>
                                <w:div w:id="884559351">
                                  <w:marLeft w:val="0"/>
                                  <w:marRight w:val="0"/>
                                  <w:marTop w:val="0"/>
                                  <w:marBottom w:val="0"/>
                                  <w:divBdr>
                                    <w:top w:val="none" w:sz="0" w:space="0" w:color="auto"/>
                                    <w:left w:val="none" w:sz="0" w:space="0" w:color="auto"/>
                                    <w:bottom w:val="none" w:sz="0" w:space="0" w:color="auto"/>
                                    <w:right w:val="none" w:sz="0" w:space="0" w:color="auto"/>
                                  </w:divBdr>
                                  <w:divsChild>
                                    <w:div w:id="202641387">
                                      <w:marLeft w:val="0"/>
                                      <w:marRight w:val="0"/>
                                      <w:marTop w:val="0"/>
                                      <w:marBottom w:val="0"/>
                                      <w:divBdr>
                                        <w:top w:val="single" w:sz="6" w:space="0" w:color="F5F5F5"/>
                                        <w:left w:val="single" w:sz="6" w:space="0" w:color="F5F5F5"/>
                                        <w:bottom w:val="single" w:sz="6" w:space="0" w:color="F5F5F5"/>
                                        <w:right w:val="single" w:sz="6" w:space="0" w:color="F5F5F5"/>
                                      </w:divBdr>
                                      <w:divsChild>
                                        <w:div w:id="1789860219">
                                          <w:marLeft w:val="0"/>
                                          <w:marRight w:val="0"/>
                                          <w:marTop w:val="0"/>
                                          <w:marBottom w:val="0"/>
                                          <w:divBdr>
                                            <w:top w:val="none" w:sz="0" w:space="0" w:color="auto"/>
                                            <w:left w:val="none" w:sz="0" w:space="0" w:color="auto"/>
                                            <w:bottom w:val="none" w:sz="0" w:space="0" w:color="auto"/>
                                            <w:right w:val="none" w:sz="0" w:space="0" w:color="auto"/>
                                          </w:divBdr>
                                          <w:divsChild>
                                            <w:div w:id="194302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hyperlink" Target="file:///D:\Documents%20and%20Settings\shadia\Local%20Settings\Temporary%20Internet%20Files\Content.Outlook\Local%20Settings\diwan@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2A085-2D3C-4022-B161-917A45E4C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3093</Words>
  <Characters>17635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9</cp:revision>
  <cp:lastPrinted>2012-12-04T11:36:00Z</cp:lastPrinted>
  <dcterms:created xsi:type="dcterms:W3CDTF">2012-12-04T09:55:00Z</dcterms:created>
  <dcterms:modified xsi:type="dcterms:W3CDTF">2012-12-12T08:04:00Z</dcterms:modified>
</cp:coreProperties>
</file>